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820" w:right="0" w:firstLine="0"/>
        <w:jc w:val="left"/>
        <w:rPr>
          <w:rFonts w:ascii="MingLiU" w:eastAsia="MingLiU" w:hint="eastAsia"/>
          <w:sz w:val="36"/>
        </w:rPr>
      </w:pPr>
      <w:r>
        <w:rPr>
          <w:rFonts w:ascii="MingLiU" w:eastAsia="MingLiU" w:hint="eastAsia"/>
          <w:sz w:val="36"/>
        </w:rPr>
        <w:t>銘傳大學「觀光旅遊研究學刊」投稿格式範例</w:t>
      </w:r>
    </w:p>
    <w:p>
      <w:pPr>
        <w:pStyle w:val="BodyText"/>
        <w:spacing w:before="93"/>
        <w:ind w:left="0" w:right="157"/>
        <w:jc w:val="right"/>
        <w:rPr>
          <w:rFonts w:ascii="MingLiU" w:eastAsia="MingLiU" w:hint="eastAsia"/>
        </w:rPr>
      </w:pPr>
      <w:r>
        <w:rPr>
          <w:w w:val="95"/>
        </w:rPr>
        <w:t>2011</w:t>
      </w:r>
      <w:r>
        <w:rPr>
          <w:rFonts w:ascii="MingLiU" w:eastAsia="MingLiU" w:hint="eastAsia"/>
          <w:w w:val="95"/>
        </w:rPr>
        <w:t>年</w:t>
      </w:r>
      <w:r>
        <w:rPr>
          <w:w w:val="95"/>
        </w:rPr>
        <w:t>01</w:t>
      </w:r>
      <w:r>
        <w:rPr>
          <w:rFonts w:ascii="MingLiU" w:eastAsia="MingLiU" w:hint="eastAsia"/>
          <w:w w:val="95"/>
        </w:rPr>
        <w:t>月</w:t>
      </w:r>
      <w:r>
        <w:rPr>
          <w:w w:val="95"/>
        </w:rPr>
        <w:t>04</w:t>
      </w:r>
      <w:r>
        <w:rPr>
          <w:rFonts w:ascii="MingLiU" w:eastAsia="MingLiU" w:hint="eastAsia"/>
          <w:w w:val="95"/>
        </w:rPr>
        <w:t>日修訂</w:t>
      </w:r>
    </w:p>
    <w:p>
      <w:pPr>
        <w:pStyle w:val="Heading1"/>
        <w:spacing w:before="36"/>
      </w:pPr>
      <w:r>
        <w:rPr>
          <w:w w:val="99"/>
        </w:rPr>
        <w:t>一、基本規定</w:t>
      </w:r>
      <w:r>
        <w:rPr>
          <w:spacing w:val="1"/>
          <w:w w:val="141"/>
        </w:rPr>
        <w:t>(</w:t>
      </w:r>
      <w:r>
        <w:rPr>
          <w:w w:val="99"/>
        </w:rPr>
        <w:t>版面設定上下</w:t>
      </w:r>
      <w:r>
        <w:rPr>
          <w:spacing w:val="1"/>
          <w:w w:val="83"/>
        </w:rPr>
        <w:t>2</w:t>
      </w:r>
      <w:r>
        <w:rPr>
          <w:spacing w:val="1"/>
          <w:w w:val="195"/>
        </w:rPr>
        <w:t>.</w:t>
      </w:r>
      <w:r>
        <w:rPr>
          <w:spacing w:val="-2"/>
          <w:w w:val="83"/>
        </w:rPr>
        <w:t>5</w:t>
      </w:r>
      <w:r>
        <w:rPr>
          <w:spacing w:val="1"/>
          <w:w w:val="83"/>
        </w:rPr>
        <w:t>4</w:t>
      </w:r>
      <w:r>
        <w:rPr>
          <w:spacing w:val="1"/>
          <w:w w:val="98"/>
        </w:rPr>
        <w:t>c</w:t>
      </w:r>
      <w:r>
        <w:rPr>
          <w:spacing w:val="1"/>
          <w:w w:val="52"/>
        </w:rPr>
        <w:t>m</w:t>
      </w:r>
      <w:r>
        <w:rPr>
          <w:spacing w:val="-1"/>
          <w:w w:val="195"/>
        </w:rPr>
        <w:t>,</w:t>
      </w:r>
      <w:r>
        <w:rPr>
          <w:spacing w:val="1"/>
          <w:w w:val="99"/>
        </w:rPr>
        <w:t>左右</w:t>
      </w:r>
      <w:r>
        <w:rPr>
          <w:spacing w:val="1"/>
          <w:w w:val="83"/>
        </w:rPr>
        <w:t>3</w:t>
      </w:r>
      <w:r>
        <w:rPr>
          <w:spacing w:val="1"/>
          <w:w w:val="195"/>
        </w:rPr>
        <w:t>.</w:t>
      </w:r>
      <w:r>
        <w:rPr>
          <w:spacing w:val="1"/>
          <w:w w:val="83"/>
        </w:rPr>
        <w:t>1</w:t>
      </w:r>
      <w:r>
        <w:rPr>
          <w:spacing w:val="-2"/>
          <w:w w:val="83"/>
        </w:rPr>
        <w:t>7</w:t>
      </w:r>
      <w:r>
        <w:rPr>
          <w:spacing w:val="1"/>
          <w:w w:val="98"/>
        </w:rPr>
        <w:t>c</w:t>
      </w:r>
      <w:r>
        <w:rPr>
          <w:spacing w:val="1"/>
          <w:w w:val="52"/>
        </w:rPr>
        <w:t>m</w:t>
      </w:r>
      <w:r>
        <w:rPr>
          <w:w w:val="141"/>
        </w:rPr>
        <w:t>)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78" w:after="0"/>
        <w:ind w:left="460" w:right="0" w:hanging="361"/>
        <w:jc w:val="both"/>
        <w:rPr>
          <w:sz w:val="20"/>
        </w:rPr>
      </w:pPr>
      <w:r>
        <w:rPr>
          <w:sz w:val="20"/>
        </w:rPr>
        <w:t>中英文標題與作者資訊標明於首頁，第二頁之後請勿置入作者資訊。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9" w:after="0"/>
        <w:ind w:left="460" w:right="0" w:hanging="361"/>
        <w:jc w:val="both"/>
        <w:rPr>
          <w:sz w:val="20"/>
        </w:rPr>
      </w:pPr>
      <w:r>
        <w:rPr>
          <w:spacing w:val="-6"/>
          <w:sz w:val="20"/>
        </w:rPr>
        <w:t>中文字體為標楷體，英文字體為</w:t>
      </w:r>
      <w:r>
        <w:rPr>
          <w:rFonts w:ascii="Times New Roman" w:eastAsia="Times New Roman"/>
          <w:sz w:val="20"/>
        </w:rPr>
        <w:t>Times</w:t>
      </w:r>
      <w:r>
        <w:rPr>
          <w:rFonts w:ascii="Times New Roman" w:eastAsia="Times New Roman"/>
          <w:spacing w:val="-3"/>
          <w:sz w:val="20"/>
        </w:rPr>
        <w:t> </w:t>
      </w:r>
      <w:r>
        <w:rPr>
          <w:rFonts w:ascii="Times New Roman" w:eastAsia="Times New Roman"/>
          <w:sz w:val="20"/>
        </w:rPr>
        <w:t>New</w:t>
      </w:r>
      <w:r>
        <w:rPr>
          <w:rFonts w:ascii="Times New Roman" w:eastAsia="Times New Roman"/>
          <w:spacing w:val="-2"/>
          <w:sz w:val="20"/>
        </w:rPr>
        <w:t> </w:t>
      </w:r>
      <w:r>
        <w:rPr>
          <w:rFonts w:ascii="Times New Roman" w:eastAsia="Times New Roman"/>
          <w:spacing w:val="-7"/>
          <w:sz w:val="20"/>
        </w:rPr>
        <w:t>Roman</w:t>
      </w:r>
      <w:r>
        <w:rPr>
          <w:spacing w:val="-3"/>
          <w:sz w:val="20"/>
        </w:rPr>
        <w:t>，文字格式字型</w:t>
      </w:r>
      <w:r>
        <w:rPr>
          <w:rFonts w:ascii="Times New Roman" w:eastAsia="Times New Roman"/>
          <w:sz w:val="20"/>
        </w:rPr>
        <w:t>12</w:t>
      </w:r>
      <w:r>
        <w:rPr>
          <w:rFonts w:ascii="Times New Roman" w:eastAsia="Times New Roman"/>
          <w:spacing w:val="46"/>
          <w:sz w:val="20"/>
        </w:rPr>
        <w:t> </w:t>
      </w:r>
      <w:r>
        <w:rPr>
          <w:spacing w:val="-6"/>
          <w:sz w:val="20"/>
        </w:rPr>
        <w:t>號，段落行距為單行間距。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23" w:lineRule="auto" w:before="116" w:after="0"/>
        <w:ind w:left="460" w:right="239" w:hanging="360"/>
        <w:jc w:val="both"/>
        <w:rPr>
          <w:sz w:val="20"/>
        </w:rPr>
      </w:pPr>
      <w:r>
        <w:rPr>
          <w:sz w:val="20"/>
        </w:rPr>
        <w:t>全文以一萬五千字為限（含圖表與中、英文摘要）</w:t>
      </w:r>
      <w:r>
        <w:rPr>
          <w:spacing w:val="-1"/>
          <w:sz w:val="20"/>
        </w:rPr>
        <w:t>。中、英文之摘要以三百字為限。中、英文</w:t>
      </w:r>
      <w:r>
        <w:rPr>
          <w:sz w:val="20"/>
        </w:rPr>
        <w:t>關鍵詞以五個為限。英文投稿亦請附上中文摘要。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23" w:lineRule="auto" w:before="121" w:after="0"/>
        <w:ind w:left="460" w:right="158" w:hanging="360"/>
        <w:jc w:val="both"/>
        <w:rPr>
          <w:sz w:val="20"/>
        </w:rPr>
      </w:pPr>
      <w:r>
        <w:rPr>
          <w:spacing w:val="-3"/>
          <w:w w:val="95"/>
          <w:sz w:val="20"/>
        </w:rPr>
        <w:t>文字敘述之編號順序，中文為：壹、一、</w:t>
      </w:r>
      <w:r>
        <w:rPr>
          <w:rFonts w:ascii="Times New Roman" w:hAnsi="Times New Roman" w:eastAsia="Times New Roman"/>
          <w:w w:val="95"/>
          <w:sz w:val="20"/>
        </w:rPr>
        <w:t>(</w:t>
      </w:r>
      <w:r>
        <w:rPr>
          <w:w w:val="95"/>
          <w:sz w:val="20"/>
        </w:rPr>
        <w:t>一</w:t>
      </w:r>
      <w:r>
        <w:rPr>
          <w:rFonts w:ascii="Times New Roman" w:hAnsi="Times New Roman" w:eastAsia="Times New Roman"/>
          <w:w w:val="95"/>
          <w:sz w:val="20"/>
        </w:rPr>
        <w:t>)</w:t>
      </w:r>
      <w:r>
        <w:rPr>
          <w:w w:val="95"/>
          <w:sz w:val="20"/>
        </w:rPr>
        <w:t>、</w:t>
      </w:r>
      <w:r>
        <w:rPr>
          <w:rFonts w:ascii="Times New Roman" w:hAnsi="Times New Roman" w:eastAsia="Times New Roman"/>
          <w:spacing w:val="-4"/>
          <w:w w:val="95"/>
          <w:sz w:val="20"/>
        </w:rPr>
        <w:t>1</w:t>
      </w:r>
      <w:r>
        <w:rPr>
          <w:w w:val="95"/>
          <w:sz w:val="20"/>
        </w:rPr>
        <w:t>、</w:t>
      </w:r>
      <w:r>
        <w:rPr>
          <w:rFonts w:ascii="Times New Roman" w:hAnsi="Times New Roman" w:eastAsia="Times New Roman"/>
          <w:w w:val="95"/>
          <w:sz w:val="20"/>
        </w:rPr>
        <w:t>(1)</w:t>
      </w:r>
      <w:r>
        <w:rPr>
          <w:w w:val="95"/>
          <w:sz w:val="20"/>
        </w:rPr>
        <w:t>，英文為：Ⅰ、</w:t>
      </w:r>
      <w:r>
        <w:rPr>
          <w:rFonts w:ascii="Times New Roman" w:hAnsi="Times New Roman" w:eastAsia="Times New Roman"/>
          <w:w w:val="95"/>
          <w:sz w:val="20"/>
        </w:rPr>
        <w:t>(</w:t>
      </w:r>
      <w:r>
        <w:rPr>
          <w:w w:val="95"/>
          <w:sz w:val="20"/>
        </w:rPr>
        <w:t>Ⅰ</w:t>
      </w:r>
      <w:r>
        <w:rPr>
          <w:rFonts w:ascii="Times New Roman" w:hAnsi="Times New Roman" w:eastAsia="Times New Roman"/>
          <w:w w:val="95"/>
          <w:sz w:val="20"/>
        </w:rPr>
        <w:t>)</w:t>
      </w:r>
      <w:r>
        <w:rPr>
          <w:w w:val="95"/>
          <w:sz w:val="20"/>
        </w:rPr>
        <w:t>、</w:t>
      </w:r>
      <w:r>
        <w:rPr>
          <w:rFonts w:ascii="Times New Roman" w:hAnsi="Times New Roman" w:eastAsia="Times New Roman"/>
          <w:spacing w:val="-5"/>
          <w:w w:val="95"/>
          <w:sz w:val="20"/>
        </w:rPr>
        <w:t>A</w:t>
      </w:r>
      <w:r>
        <w:rPr>
          <w:w w:val="95"/>
          <w:sz w:val="20"/>
        </w:rPr>
        <w:t>、</w:t>
      </w:r>
      <w:r>
        <w:rPr>
          <w:rFonts w:ascii="Times New Roman" w:hAnsi="Times New Roman" w:eastAsia="Times New Roman"/>
          <w:w w:val="95"/>
          <w:sz w:val="20"/>
        </w:rPr>
        <w:t>(A)</w:t>
      </w:r>
      <w:r>
        <w:rPr>
          <w:w w:val="95"/>
          <w:sz w:val="20"/>
        </w:rPr>
        <w:t>、</w:t>
      </w:r>
      <w:r>
        <w:rPr>
          <w:rFonts w:ascii="Times New Roman" w:hAnsi="Times New Roman" w:eastAsia="Times New Roman"/>
          <w:spacing w:val="-3"/>
          <w:w w:val="95"/>
          <w:sz w:val="20"/>
        </w:rPr>
        <w:t>a</w:t>
      </w:r>
      <w:r>
        <w:rPr>
          <w:w w:val="95"/>
          <w:sz w:val="20"/>
        </w:rPr>
        <w:t>、</w:t>
      </w:r>
      <w:r>
        <w:rPr>
          <w:rFonts w:ascii="Times New Roman" w:hAnsi="Times New Roman" w:eastAsia="Times New Roman"/>
          <w:w w:val="95"/>
          <w:sz w:val="20"/>
        </w:rPr>
        <w:t>(a)</w:t>
      </w:r>
      <w:r>
        <w:rPr>
          <w:spacing w:val="-3"/>
          <w:w w:val="95"/>
          <w:sz w:val="20"/>
        </w:rPr>
        <w:t>。內   </w:t>
      </w:r>
      <w:r>
        <w:rPr>
          <w:sz w:val="20"/>
        </w:rPr>
        <w:t>文段落間文字敘述之數字，敬請利用阿拉伯數字 </w:t>
      </w:r>
      <w:r>
        <w:rPr>
          <w:rFonts w:ascii="Times New Roman" w:hAnsi="Times New Roman" w:eastAsia="Times New Roman"/>
          <w:sz w:val="20"/>
        </w:rPr>
        <w:t>(1)</w:t>
      </w:r>
      <w:r>
        <w:rPr>
          <w:sz w:val="20"/>
        </w:rPr>
        <w:t>；</w:t>
      </w:r>
      <w:r>
        <w:rPr>
          <w:rFonts w:ascii="Times New Roman" w:hAnsi="Times New Roman" w:eastAsia="Times New Roman"/>
          <w:sz w:val="20"/>
        </w:rPr>
        <w:t>(2)</w:t>
      </w:r>
      <w:r>
        <w:rPr>
          <w:sz w:val="20"/>
        </w:rPr>
        <w:t>；</w:t>
      </w:r>
      <w:r>
        <w:rPr>
          <w:rFonts w:ascii="Times New Roman" w:hAnsi="Times New Roman" w:eastAsia="Times New Roman"/>
          <w:sz w:val="20"/>
        </w:rPr>
        <w:t>(3) …</w:t>
      </w:r>
      <w:r>
        <w:rPr>
          <w:sz w:val="20"/>
        </w:rPr>
        <w:t>表示。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25" w:lineRule="auto" w:before="116" w:after="0"/>
        <w:ind w:left="460" w:right="154" w:hanging="360"/>
        <w:jc w:val="both"/>
        <w:rPr>
          <w:sz w:val="20"/>
        </w:rPr>
      </w:pPr>
      <w:r>
        <w:rPr>
          <w:spacing w:val="-3"/>
          <w:sz w:val="20"/>
        </w:rPr>
        <w:t>表格標題在表格之上，圖片標題在圖片之下，標題請均置中。編排順序以圖 </w:t>
      </w:r>
      <w:r>
        <w:rPr>
          <w:rFonts w:ascii="Times New Roman" w:eastAsia="Times New Roman"/>
          <w:sz w:val="20"/>
        </w:rPr>
        <w:t>1</w:t>
      </w:r>
      <w:r>
        <w:rPr>
          <w:rFonts w:ascii="Times New Roman" w:eastAsia="Times New Roman"/>
          <w:spacing w:val="-5"/>
          <w:sz w:val="20"/>
        </w:rPr>
        <w:t> </w:t>
      </w:r>
      <w:r>
        <w:rPr>
          <w:rFonts w:ascii="Times New Roman" w:eastAsia="Times New Roman"/>
          <w:sz w:val="20"/>
        </w:rPr>
        <w:t>(Figure</w:t>
      </w:r>
      <w:r>
        <w:rPr>
          <w:rFonts w:ascii="Times New Roman" w:eastAsia="Times New Roman"/>
          <w:spacing w:val="-2"/>
          <w:sz w:val="20"/>
        </w:rPr>
        <w:t> </w:t>
      </w:r>
      <w:r>
        <w:rPr>
          <w:rFonts w:ascii="Times New Roman" w:eastAsia="Times New Roman"/>
          <w:sz w:val="20"/>
        </w:rPr>
        <w:t>1.)</w:t>
      </w:r>
      <w:r>
        <w:rPr>
          <w:spacing w:val="-3"/>
          <w:sz w:val="20"/>
        </w:rPr>
        <w:t>、表 </w:t>
      </w:r>
      <w:r>
        <w:rPr>
          <w:rFonts w:ascii="Times New Roman" w:eastAsia="Times New Roman"/>
          <w:sz w:val="20"/>
        </w:rPr>
        <w:t>1 (Table</w:t>
      </w:r>
      <w:r>
        <w:rPr>
          <w:rFonts w:ascii="Times New Roman" w:eastAsia="Times New Roman"/>
          <w:spacing w:val="-1"/>
          <w:sz w:val="20"/>
        </w:rPr>
        <w:t> </w:t>
      </w:r>
      <w:r>
        <w:rPr>
          <w:rFonts w:ascii="Times New Roman" w:eastAsia="Times New Roman"/>
          <w:sz w:val="20"/>
        </w:rPr>
        <w:t>1.)</w:t>
      </w:r>
      <w:r>
        <w:rPr>
          <w:sz w:val="20"/>
        </w:rPr>
        <w:t>，圖 </w:t>
      </w:r>
      <w:r>
        <w:rPr>
          <w:rFonts w:ascii="Times New Roman" w:eastAsia="Times New Roman"/>
          <w:sz w:val="20"/>
        </w:rPr>
        <w:t>2</w:t>
      </w:r>
      <w:r>
        <w:rPr>
          <w:rFonts w:ascii="Times New Roman" w:eastAsia="Times New Roman"/>
          <w:spacing w:val="-1"/>
          <w:sz w:val="20"/>
        </w:rPr>
        <w:t> </w:t>
      </w:r>
      <w:r>
        <w:rPr>
          <w:rFonts w:ascii="Times New Roman" w:eastAsia="Times New Roman"/>
          <w:sz w:val="20"/>
        </w:rPr>
        <w:t>(Figure 2.)</w:t>
      </w:r>
      <w:r>
        <w:rPr>
          <w:spacing w:val="-1"/>
          <w:sz w:val="20"/>
        </w:rPr>
        <w:t>、表 </w:t>
      </w:r>
      <w:r>
        <w:rPr>
          <w:rFonts w:ascii="Times New Roman" w:eastAsia="Times New Roman"/>
          <w:sz w:val="20"/>
        </w:rPr>
        <w:t>2 (Table 2.)</w:t>
      </w:r>
      <w:r>
        <w:rPr>
          <w:sz w:val="20"/>
        </w:rPr>
        <w:t>等順序為之。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25" w:lineRule="auto" w:before="115" w:after="0"/>
        <w:ind w:left="460" w:right="153" w:hanging="360"/>
        <w:jc w:val="both"/>
        <w:rPr>
          <w:sz w:val="20"/>
        </w:rPr>
      </w:pPr>
      <w:r>
        <w:rPr>
          <w:spacing w:val="-4"/>
          <w:w w:val="95"/>
          <w:sz w:val="20"/>
        </w:rPr>
        <w:t>表格或圖請盡量不跨頁，若必頇跨頁處理，跨第二頁之表格標題末尾請加上</w:t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續</w:t>
      </w:r>
      <w:r>
        <w:rPr>
          <w:rFonts w:ascii="Times New Roman" w:eastAsia="Times New Roman"/>
          <w:w w:val="95"/>
          <w:sz w:val="20"/>
        </w:rPr>
        <w:t>)</w:t>
      </w:r>
      <w:r>
        <w:rPr>
          <w:spacing w:val="-4"/>
          <w:w w:val="95"/>
          <w:sz w:val="20"/>
        </w:rPr>
        <w:t>字樣，表格格線   </w:t>
      </w:r>
      <w:r>
        <w:rPr>
          <w:spacing w:val="-4"/>
          <w:sz w:val="20"/>
        </w:rPr>
        <w:t>請盡量以橫線表示。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23" w:lineRule="auto" w:before="117" w:after="0"/>
        <w:ind w:left="460" w:right="239" w:hanging="360"/>
        <w:jc w:val="both"/>
        <w:rPr>
          <w:sz w:val="20"/>
        </w:rPr>
      </w:pPr>
      <w:r>
        <w:rPr>
          <w:spacing w:val="-1"/>
          <w:sz w:val="20"/>
        </w:rPr>
        <w:t>參考文獻之排列順序，以中文、西文之順序為之。同為中文或西文文獻者，以作者姓氏筆劃或</w:t>
      </w:r>
      <w:r>
        <w:rPr>
          <w:sz w:val="20"/>
        </w:rPr>
        <w:t>姓氏字母順序先後排列。引用文獻書寫之方式請參考以下範例，或請參考美國心理學會</w:t>
      </w:r>
      <w:r>
        <w:rPr>
          <w:rFonts w:ascii="Times New Roman" w:eastAsia="Times New Roman"/>
          <w:sz w:val="20"/>
        </w:rPr>
        <w:t>(APA) </w:t>
      </w:r>
      <w:r>
        <w:rPr>
          <w:sz w:val="20"/>
        </w:rPr>
        <w:t>出版手冊之格式。</w:t>
      </w:r>
    </w:p>
    <w:p>
      <w:pPr>
        <w:pStyle w:val="Heading1"/>
        <w:spacing w:before="40"/>
      </w:pPr>
      <w:r>
        <w:rPr/>
        <w:t>二、統計符號格式範例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78" w:after="0"/>
        <w:ind w:left="460" w:right="0" w:hanging="361"/>
        <w:jc w:val="both"/>
        <w:rPr>
          <w:sz w:val="20"/>
        </w:rPr>
      </w:pPr>
      <w:r>
        <w:rPr>
          <w:sz w:val="20"/>
        </w:rPr>
        <w:t>不論符號出現在本文、表或圖中，其符號的呈現都要使用相同的字體。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69" w:lineRule="exact" w:before="102" w:after="0"/>
        <w:ind w:left="460" w:right="0" w:hanging="361"/>
        <w:jc w:val="both"/>
        <w:rPr>
          <w:sz w:val="20"/>
        </w:rPr>
      </w:pPr>
      <w:r>
        <w:rPr>
          <w:sz w:val="20"/>
        </w:rPr>
        <w:t>大寫</w:t>
      </w:r>
      <w:r>
        <w:rPr>
          <w:rFonts w:ascii="Times New Roman" w:eastAsia="Times New Roman"/>
          <w:spacing w:val="-3"/>
          <w:sz w:val="20"/>
        </w:rPr>
        <w:t>N</w:t>
      </w:r>
      <w:r>
        <w:rPr>
          <w:sz w:val="20"/>
        </w:rPr>
        <w:t>表示全部樣本成員的數目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如：</w:t>
      </w:r>
      <w:r>
        <w:rPr>
          <w:rFonts w:ascii="Times New Roman" w:eastAsia="Times New Roman"/>
          <w:i/>
          <w:sz w:val="20"/>
        </w:rPr>
        <w:t>N</w:t>
      </w:r>
      <w:r>
        <w:rPr>
          <w:rFonts w:ascii="Times New Roman" w:eastAsia="Times New Roman"/>
          <w:i/>
          <w:spacing w:val="-3"/>
          <w:sz w:val="20"/>
        </w:rPr>
        <w:t> </w:t>
      </w:r>
      <w:r>
        <w:rPr>
          <w:rFonts w:ascii="Times New Roman" w:eastAsia="Times New Roman"/>
          <w:spacing w:val="-1"/>
          <w:sz w:val="20"/>
        </w:rPr>
        <w:t>= </w:t>
      </w:r>
      <w:r>
        <w:rPr>
          <w:rFonts w:ascii="Times New Roman" w:eastAsia="Times New Roman"/>
          <w:sz w:val="20"/>
        </w:rPr>
        <w:t>220)</w:t>
      </w:r>
      <w:r>
        <w:rPr>
          <w:sz w:val="20"/>
        </w:rPr>
        <w:t>，小寫</w:t>
      </w:r>
      <w:r>
        <w:rPr>
          <w:rFonts w:ascii="Times New Roman" w:eastAsia="Times New Roman"/>
          <w:sz w:val="20"/>
        </w:rPr>
        <w:t>n</w:t>
      </w:r>
      <w:r>
        <w:rPr>
          <w:sz w:val="20"/>
        </w:rPr>
        <w:t>表示全部樣本中有限比例的成員數目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如：</w:t>
      </w:r>
    </w:p>
    <w:p>
      <w:pPr>
        <w:spacing w:line="269" w:lineRule="exact" w:before="0"/>
        <w:ind w:left="460" w:right="0" w:firstLine="0"/>
        <w:jc w:val="left"/>
        <w:rPr>
          <w:rFonts w:ascii="MingLiU" w:eastAsia="MingLiU" w:hint="eastAsia"/>
          <w:sz w:val="20"/>
        </w:rPr>
      </w:pPr>
      <w:r>
        <w:rPr>
          <w:i/>
          <w:sz w:val="20"/>
        </w:rPr>
        <w:t>n </w:t>
      </w:r>
      <w:r>
        <w:rPr>
          <w:sz w:val="20"/>
        </w:rPr>
        <w:t>= 30)</w:t>
      </w:r>
      <w:r>
        <w:rPr>
          <w:rFonts w:ascii="MingLiU" w:eastAsia="MingLiU" w:hint="eastAsia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23" w:lineRule="auto" w:before="116" w:after="0"/>
        <w:ind w:left="460" w:right="187" w:hanging="360"/>
        <w:jc w:val="both"/>
        <w:rPr>
          <w:sz w:val="20"/>
        </w:rPr>
      </w:pPr>
      <w:r>
        <w:rPr>
          <w:sz w:val="20"/>
        </w:rPr>
        <w:t>希臘字母、不是變項的縮寫字採用正體</w:t>
      </w:r>
      <w:r>
        <w:rPr>
          <w:rFonts w:ascii="Times New Roman" w:hAnsi="Times New Roman" w:eastAsia="Times New Roman"/>
          <w:sz w:val="20"/>
        </w:rPr>
        <w:t>(</w:t>
      </w:r>
      <w:r>
        <w:rPr>
          <w:sz w:val="20"/>
        </w:rPr>
        <w:t>如：</w:t>
      </w:r>
      <w:r>
        <w:rPr>
          <w:rFonts w:ascii="Times New Roman" w:hAnsi="Times New Roman" w:eastAsia="Times New Roman"/>
          <w:sz w:val="20"/>
        </w:rPr>
        <w:t>χ2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α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β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μ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sin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log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ANOVA)</w:t>
      </w:r>
      <w:r>
        <w:rPr>
          <w:sz w:val="20"/>
        </w:rPr>
        <w:t>。其他統計符號使用斜體</w:t>
      </w:r>
      <w:r>
        <w:rPr>
          <w:rFonts w:ascii="Times New Roman" w:hAnsi="Times New Roman" w:eastAsia="Times New Roman"/>
          <w:sz w:val="20"/>
        </w:rPr>
        <w:t>(</w:t>
      </w:r>
      <w:r>
        <w:rPr>
          <w:sz w:val="20"/>
        </w:rPr>
        <w:t>如：</w:t>
      </w:r>
      <w:r>
        <w:rPr>
          <w:rFonts w:ascii="Times New Roman" w:hAnsi="Times New Roman" w:eastAsia="Times New Roman"/>
          <w:i/>
          <w:sz w:val="20"/>
        </w:rPr>
        <w:t>AVE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CR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df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GFI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F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M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pacing w:val="-4"/>
          <w:sz w:val="20"/>
        </w:rPr>
        <w:t>N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n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ns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p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RMSEA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SS</w:t>
      </w:r>
      <w:r>
        <w:rPr>
          <w:rFonts w:ascii="Times New Roman" w:hAnsi="Times New Roman" w:eastAsia="Times New Roman"/>
          <w:sz w:val="20"/>
        </w:rPr>
        <w:t>b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SE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t</w:t>
      </w:r>
      <w:r>
        <w:rPr>
          <w:sz w:val="20"/>
        </w:rPr>
        <w:t>、</w:t>
      </w:r>
      <w:r>
        <w:rPr>
          <w:rFonts w:ascii="Times New Roman" w:hAnsi="Times New Roman" w:eastAsia="Times New Roman"/>
          <w:i/>
          <w:sz w:val="20"/>
        </w:rPr>
        <w:t>z</w:t>
      </w:r>
      <w:r>
        <w:rPr>
          <w:rFonts w:ascii="Times New Roman" w:hAnsi="Times New Roman" w:eastAsia="Times New Roman"/>
          <w:sz w:val="20"/>
        </w:rPr>
        <w:t>)</w:t>
      </w:r>
      <w:r>
        <w:rPr>
          <w:sz w:val="20"/>
        </w:rPr>
        <w:t>。</w:t>
      </w:r>
    </w:p>
    <w:p>
      <w:pPr>
        <w:pStyle w:val="Heading1"/>
        <w:spacing w:line="249" w:lineRule="auto" w:before="38"/>
        <w:ind w:right="6396"/>
      </w:pPr>
      <w:r>
        <w:rPr/>
        <w:t>三、內文引用文獻格式範例</w:t>
      </w:r>
      <w:r>
        <w:rPr>
          <w:w w:val="120"/>
        </w:rPr>
        <w:t>(</w:t>
      </w:r>
      <w:r>
        <w:rPr>
          <w:w w:val="105"/>
        </w:rPr>
        <w:t>一</w:t>
      </w:r>
      <w:r>
        <w:rPr>
          <w:w w:val="120"/>
        </w:rPr>
        <w:t>) </w:t>
      </w:r>
      <w:r>
        <w:rPr>
          <w:w w:val="105"/>
        </w:rPr>
        <w:t>《句前引述》</w:t>
      </w:r>
    </w:p>
    <w:p>
      <w:pPr>
        <w:pStyle w:val="ListParagraph"/>
        <w:numPr>
          <w:ilvl w:val="1"/>
          <w:numId w:val="2"/>
        </w:numPr>
        <w:tabs>
          <w:tab w:pos="528" w:val="left" w:leader="none"/>
        </w:tabs>
        <w:spacing w:line="240" w:lineRule="auto" w:before="62" w:after="0"/>
        <w:ind w:left="527" w:right="0" w:hanging="286"/>
        <w:jc w:val="left"/>
        <w:rPr>
          <w:sz w:val="20"/>
        </w:rPr>
      </w:pPr>
      <w:r>
        <w:rPr>
          <w:sz w:val="20"/>
        </w:rPr>
        <w:t>鄭健雄、劉孟奇</w:t>
      </w:r>
      <w:r>
        <w:rPr>
          <w:rFonts w:ascii="Times New Roman" w:hAnsi="Times New Roman" w:eastAsia="Times New Roman"/>
          <w:sz w:val="20"/>
        </w:rPr>
        <w:t>(2001)</w:t>
      </w:r>
      <w:r>
        <w:rPr>
          <w:sz w:val="20"/>
        </w:rPr>
        <w:t>已發現國人「渡假生活型態」具有追求「健康」的構面。</w:t>
      </w:r>
    </w:p>
    <w:p>
      <w:pPr>
        <w:pStyle w:val="ListParagraph"/>
        <w:numPr>
          <w:ilvl w:val="1"/>
          <w:numId w:val="2"/>
        </w:numPr>
        <w:tabs>
          <w:tab w:pos="528" w:val="left" w:leader="none"/>
        </w:tabs>
        <w:spacing w:line="240" w:lineRule="auto" w:before="102" w:after="0"/>
        <w:ind w:left="527" w:right="0" w:hanging="286"/>
        <w:jc w:val="left"/>
        <w:rPr>
          <w:sz w:val="20"/>
        </w:rPr>
      </w:pPr>
      <w:r>
        <w:rPr>
          <w:rFonts w:ascii="Times New Roman" w:hAnsi="Times New Roman" w:eastAsia="Times New Roman"/>
          <w:sz w:val="20"/>
        </w:rPr>
        <w:t>Organ</w:t>
      </w:r>
      <w:r>
        <w:rPr>
          <w:rFonts w:ascii="Times New Roman" w:hAnsi="Times New Roman" w:eastAsia="Times New Roman"/>
          <w:spacing w:val="-4"/>
          <w:sz w:val="20"/>
        </w:rPr>
        <w:t> </w:t>
      </w:r>
      <w:r>
        <w:rPr>
          <w:rFonts w:ascii="Times New Roman" w:hAnsi="Times New Roman" w:eastAsia="Times New Roman"/>
          <w:sz w:val="20"/>
        </w:rPr>
        <w:t>and</w:t>
      </w:r>
      <w:r>
        <w:rPr>
          <w:rFonts w:ascii="Times New Roman" w:hAnsi="Times New Roman" w:eastAsia="Times New Roman"/>
          <w:spacing w:val="-1"/>
          <w:sz w:val="20"/>
        </w:rPr>
        <w:t> </w:t>
      </w:r>
      <w:r>
        <w:rPr>
          <w:rFonts w:ascii="Times New Roman" w:hAnsi="Times New Roman" w:eastAsia="Times New Roman"/>
          <w:sz w:val="20"/>
        </w:rPr>
        <w:t>Ryan</w:t>
      </w:r>
      <w:r>
        <w:rPr>
          <w:rFonts w:ascii="Times New Roman" w:hAnsi="Times New Roman" w:eastAsia="Times New Roman"/>
          <w:spacing w:val="-2"/>
          <w:sz w:val="20"/>
        </w:rPr>
        <w:t> (</w:t>
      </w:r>
      <w:r>
        <w:rPr>
          <w:rFonts w:ascii="Times New Roman" w:hAnsi="Times New Roman" w:eastAsia="Times New Roman"/>
          <w:sz w:val="20"/>
        </w:rPr>
        <w:t>1995</w:t>
      </w:r>
      <w:r>
        <w:rPr>
          <w:rFonts w:ascii="Times New Roman" w:hAnsi="Times New Roman" w:eastAsia="Times New Roman"/>
          <w:spacing w:val="24"/>
          <w:sz w:val="20"/>
        </w:rPr>
        <w:t>) </w:t>
      </w:r>
      <w:r>
        <w:rPr>
          <w:spacing w:val="-12"/>
          <w:sz w:val="20"/>
        </w:rPr>
        <w:t>研究發現，員工知覺組織的支持與激勵，應有助於組織公民行為之提昇。</w:t>
      </w:r>
    </w:p>
    <w:p>
      <w:pPr>
        <w:pStyle w:val="ListParagraph"/>
        <w:numPr>
          <w:ilvl w:val="1"/>
          <w:numId w:val="2"/>
        </w:numPr>
        <w:tabs>
          <w:tab w:pos="528" w:val="left" w:leader="none"/>
        </w:tabs>
        <w:spacing w:line="240" w:lineRule="auto" w:before="100" w:after="0"/>
        <w:ind w:left="527" w:right="0" w:hanging="286"/>
        <w:jc w:val="left"/>
        <w:rPr>
          <w:sz w:val="20"/>
        </w:rPr>
      </w:pPr>
      <w:r>
        <w:rPr>
          <w:rFonts w:ascii="Times New Roman" w:hAnsi="Times New Roman" w:eastAsia="Times New Roman"/>
          <w:sz w:val="20"/>
        </w:rPr>
        <w:t>Gibson</w:t>
      </w:r>
      <w:r>
        <w:rPr>
          <w:rFonts w:ascii="Times New Roman" w:hAnsi="Times New Roman" w:eastAsia="Times New Roman"/>
          <w:spacing w:val="-1"/>
          <w:sz w:val="20"/>
        </w:rPr>
        <w:t>, </w:t>
      </w:r>
      <w:r>
        <w:rPr>
          <w:rFonts w:ascii="Times New Roman" w:hAnsi="Times New Roman" w:eastAsia="Times New Roman"/>
          <w:sz w:val="20"/>
        </w:rPr>
        <w:t>Willming, and</w:t>
      </w:r>
      <w:r>
        <w:rPr>
          <w:rFonts w:ascii="Times New Roman" w:hAnsi="Times New Roman" w:eastAsia="Times New Roman"/>
          <w:spacing w:val="1"/>
          <w:sz w:val="20"/>
        </w:rPr>
        <w:t> </w:t>
      </w:r>
      <w:r>
        <w:rPr>
          <w:rFonts w:ascii="Times New Roman" w:hAnsi="Times New Roman" w:eastAsia="Times New Roman"/>
          <w:sz w:val="20"/>
        </w:rPr>
        <w:t>Holdnak</w:t>
      </w:r>
      <w:r>
        <w:rPr>
          <w:rFonts w:ascii="Times New Roman" w:hAnsi="Times New Roman" w:eastAsia="Times New Roman"/>
          <w:spacing w:val="-1"/>
          <w:sz w:val="20"/>
        </w:rPr>
        <w:t> (</w:t>
      </w:r>
      <w:r>
        <w:rPr>
          <w:rFonts w:ascii="Times New Roman" w:hAnsi="Times New Roman" w:eastAsia="Times New Roman"/>
          <w:sz w:val="20"/>
        </w:rPr>
        <w:t>2002)</w:t>
      </w:r>
      <w:r>
        <w:rPr>
          <w:sz w:val="20"/>
        </w:rPr>
        <w:t>的研究則發現</w:t>
      </w:r>
      <w:r>
        <w:rPr>
          <w:rFonts w:ascii="Times New Roman" w:hAnsi="Times New Roman" w:eastAsia="Times New Roman"/>
          <w:sz w:val="20"/>
        </w:rPr>
        <w:t>……</w:t>
      </w:r>
      <w:r>
        <w:rPr>
          <w:sz w:val="20"/>
        </w:rPr>
        <w:t>。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461" w:val="left" w:leader="none"/>
        </w:tabs>
        <w:spacing w:line="240" w:lineRule="auto" w:before="99" w:after="0"/>
        <w:ind w:left="460" w:right="0" w:hanging="361"/>
        <w:jc w:val="left"/>
        <w:rPr>
          <w:sz w:val="20"/>
        </w:rPr>
      </w:pPr>
      <w:r>
        <w:rPr>
          <w:sz w:val="20"/>
        </w:rPr>
        <w:t>中文姓名以「、」連結，英文姓以「</w:t>
      </w:r>
      <w:r>
        <w:rPr>
          <w:rFonts w:ascii="Times New Roman" w:eastAsia="Times New Roman"/>
          <w:sz w:val="20"/>
        </w:rPr>
        <w:t>and</w:t>
      </w:r>
      <w:r>
        <w:rPr>
          <w:sz w:val="20"/>
        </w:rPr>
        <w:t>」連結。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461" w:val="left" w:leader="none"/>
        </w:tabs>
        <w:spacing w:line="240" w:lineRule="auto" w:before="102" w:after="0"/>
        <w:ind w:left="460" w:right="0" w:hanging="361"/>
        <w:jc w:val="left"/>
        <w:rPr>
          <w:sz w:val="20"/>
        </w:rPr>
      </w:pPr>
      <w:r>
        <w:rPr>
          <w:sz w:val="20"/>
        </w:rPr>
        <w:t>中英文括號均為半形，中文引用括號前不空格，英文引用括號前空格。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461" w:val="left" w:leader="none"/>
        </w:tabs>
        <w:spacing w:line="225" w:lineRule="auto" w:before="112" w:after="0"/>
        <w:ind w:left="460" w:right="156" w:hanging="360"/>
        <w:jc w:val="left"/>
        <w:rPr>
          <w:sz w:val="20"/>
        </w:rPr>
      </w:pPr>
      <w:r>
        <w:rPr>
          <w:spacing w:val="-8"/>
          <w:w w:val="95"/>
          <w:sz w:val="20"/>
        </w:rPr>
        <w:t>三位、四位或五位作者，第一次引用全部列出，其後則列出第一位作者，後面加上「等」或「</w:t>
      </w:r>
      <w:r>
        <w:rPr>
          <w:rFonts w:ascii="Times New Roman" w:eastAsia="Times New Roman"/>
          <w:w w:val="95"/>
          <w:sz w:val="20"/>
        </w:rPr>
        <w:t>et     </w:t>
      </w:r>
      <w:r>
        <w:rPr>
          <w:rFonts w:ascii="Times New Roman" w:eastAsia="Times New Roman"/>
          <w:sz w:val="20"/>
        </w:rPr>
        <w:t>al.</w:t>
      </w:r>
      <w:r>
        <w:rPr>
          <w:sz w:val="20"/>
        </w:rPr>
        <w:t>」。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461" w:val="left" w:leader="none"/>
        </w:tabs>
        <w:spacing w:line="268" w:lineRule="auto" w:before="103" w:after="0"/>
        <w:ind w:left="100" w:right="121" w:firstLine="0"/>
        <w:jc w:val="left"/>
        <w:rPr>
          <w:rFonts w:ascii="Microsoft JhengHei" w:eastAsia="Microsoft JhengHei" w:hint="eastAsia"/>
          <w:b/>
          <w:sz w:val="20"/>
        </w:rPr>
      </w:pPr>
      <w:r>
        <w:rPr>
          <w:spacing w:val="-9"/>
          <w:sz w:val="20"/>
        </w:rPr>
        <w:t>六位或六位以上作者，第一次及其後引用，均只列出第一位作者，後面加上「等」或「</w:t>
      </w:r>
      <w:r>
        <w:rPr>
          <w:rFonts w:ascii="Times New Roman" w:eastAsia="Times New Roman"/>
          <w:sz w:val="20"/>
        </w:rPr>
        <w:t>et</w:t>
      </w:r>
      <w:r>
        <w:rPr>
          <w:rFonts w:ascii="Times New Roman" w:eastAsia="Times New Roman"/>
          <w:spacing w:val="-3"/>
          <w:sz w:val="20"/>
        </w:rPr>
        <w:t> </w:t>
      </w:r>
      <w:r>
        <w:rPr>
          <w:rFonts w:ascii="Times New Roman" w:eastAsia="Times New Roman"/>
          <w:spacing w:val="2"/>
          <w:sz w:val="20"/>
        </w:rPr>
        <w:t>al.</w:t>
      </w:r>
      <w:r>
        <w:rPr>
          <w:spacing w:val="-12"/>
          <w:sz w:val="20"/>
        </w:rPr>
        <w:t>」。</w:t>
      </w:r>
      <w:r>
        <w:rPr>
          <w:rFonts w:ascii="Microsoft JhengHei" w:eastAsia="Microsoft JhengHei" w:hint="eastAsia"/>
          <w:b/>
          <w:w w:val="120"/>
          <w:sz w:val="20"/>
        </w:rPr>
        <w:t>(</w:t>
      </w:r>
      <w:r>
        <w:rPr>
          <w:rFonts w:ascii="Microsoft JhengHei" w:eastAsia="Microsoft JhengHei" w:hint="eastAsia"/>
          <w:b/>
          <w:sz w:val="20"/>
        </w:rPr>
        <w:t>二</w:t>
      </w:r>
      <w:r>
        <w:rPr>
          <w:rFonts w:ascii="Microsoft JhengHei" w:eastAsia="Microsoft JhengHei" w:hint="eastAsia"/>
          <w:b/>
          <w:w w:val="120"/>
          <w:sz w:val="20"/>
        </w:rPr>
        <w:t>)</w:t>
      </w:r>
      <w:r>
        <w:rPr>
          <w:rFonts w:ascii="Microsoft JhengHei" w:eastAsia="Microsoft JhengHei" w:hint="eastAsia"/>
          <w:b/>
          <w:sz w:val="20"/>
        </w:rPr>
        <w:t>《句末引述》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  <w:tab w:pos="581" w:val="left" w:leader="none"/>
        </w:tabs>
        <w:spacing w:line="223" w:lineRule="auto" w:before="49" w:after="0"/>
        <w:ind w:left="580" w:right="159" w:hanging="480"/>
        <w:jc w:val="left"/>
        <w:rPr>
          <w:sz w:val="20"/>
        </w:rPr>
      </w:pPr>
      <w:r>
        <w:rPr>
          <w:sz w:val="20"/>
        </w:rPr>
        <w:t>而且過去大部份研究均指出動機會影響滿意度</w:t>
      </w:r>
      <w:r>
        <w:rPr>
          <w:rFonts w:ascii="Times New Roman" w:hAnsi="Times New Roman" w:eastAsia="Times New Roman"/>
          <w:sz w:val="20"/>
        </w:rPr>
        <w:t>(</w:t>
      </w:r>
      <w:r>
        <w:rPr>
          <w:spacing w:val="-9"/>
          <w:sz w:val="20"/>
        </w:rPr>
        <w:t>林俊昇，</w:t>
      </w:r>
      <w:r>
        <w:rPr>
          <w:rFonts w:ascii="Times New Roman" w:hAnsi="Times New Roman" w:eastAsia="Times New Roman"/>
          <w:spacing w:val="-11"/>
          <w:sz w:val="20"/>
        </w:rPr>
        <w:t>2005</w:t>
      </w:r>
      <w:r>
        <w:rPr>
          <w:spacing w:val="-11"/>
          <w:sz w:val="20"/>
        </w:rPr>
        <w:t>；鄭健雄、劉孟奇，</w:t>
      </w:r>
      <w:r>
        <w:rPr>
          <w:rFonts w:ascii="Times New Roman" w:hAnsi="Times New Roman" w:eastAsia="Times New Roman"/>
          <w:spacing w:val="-5"/>
          <w:sz w:val="20"/>
        </w:rPr>
        <w:t>2001</w:t>
      </w:r>
      <w:r>
        <w:rPr>
          <w:spacing w:val="-5"/>
          <w:sz w:val="20"/>
        </w:rPr>
        <w:t>；</w:t>
      </w:r>
      <w:r>
        <w:rPr>
          <w:rFonts w:ascii="Times New Roman" w:hAnsi="Times New Roman" w:eastAsia="Times New Roman"/>
          <w:spacing w:val="-5"/>
          <w:sz w:val="20"/>
        </w:rPr>
        <w:t>Fielding, </w:t>
      </w:r>
      <w:r>
        <w:rPr>
          <w:rFonts w:ascii="Times New Roman" w:hAnsi="Times New Roman" w:eastAsia="Times New Roman"/>
          <w:sz w:val="20"/>
        </w:rPr>
        <w:t>Pearce,</w:t>
      </w:r>
      <w:r>
        <w:rPr>
          <w:rFonts w:ascii="Times New Roman" w:hAnsi="Times New Roman" w:eastAsia="Times New Roman"/>
          <w:spacing w:val="-1"/>
          <w:sz w:val="20"/>
        </w:rPr>
        <w:t> </w:t>
      </w:r>
      <w:r>
        <w:rPr>
          <w:rFonts w:ascii="Times New Roman" w:hAnsi="Times New Roman" w:eastAsia="Times New Roman"/>
          <w:sz w:val="20"/>
        </w:rPr>
        <w:t>&amp;</w:t>
      </w:r>
      <w:r>
        <w:rPr>
          <w:rFonts w:ascii="Times New Roman" w:hAnsi="Times New Roman" w:eastAsia="Times New Roman"/>
          <w:spacing w:val="-2"/>
          <w:sz w:val="20"/>
        </w:rPr>
        <w:t> </w:t>
      </w:r>
      <w:r>
        <w:rPr>
          <w:rFonts w:ascii="Times New Roman" w:hAnsi="Times New Roman" w:eastAsia="Times New Roman"/>
          <w:sz w:val="20"/>
        </w:rPr>
        <w:t>Hunghes, 1992</w:t>
      </w:r>
      <w:r>
        <w:rPr>
          <w:rFonts w:ascii="Times New Roman" w:hAnsi="Times New Roman" w:eastAsia="Times New Roman"/>
          <w:spacing w:val="-1"/>
          <w:sz w:val="20"/>
        </w:rPr>
        <w:t>; </w:t>
      </w:r>
      <w:r>
        <w:rPr>
          <w:rFonts w:ascii="Times New Roman" w:hAnsi="Times New Roman" w:eastAsia="Times New Roman"/>
          <w:sz w:val="20"/>
        </w:rPr>
        <w:t>Ross</w:t>
      </w:r>
      <w:r>
        <w:rPr>
          <w:rFonts w:ascii="Times New Roman" w:hAnsi="Times New Roman" w:eastAsia="Times New Roman"/>
          <w:spacing w:val="2"/>
          <w:sz w:val="20"/>
        </w:rPr>
        <w:t> </w:t>
      </w:r>
      <w:r>
        <w:rPr>
          <w:rFonts w:ascii="Times New Roman" w:hAnsi="Times New Roman" w:eastAsia="Times New Roman"/>
          <w:sz w:val="20"/>
        </w:rPr>
        <w:t>&amp;</w:t>
      </w:r>
      <w:r>
        <w:rPr>
          <w:rFonts w:ascii="Times New Roman" w:hAnsi="Times New Roman" w:eastAsia="Times New Roman"/>
          <w:spacing w:val="-2"/>
          <w:sz w:val="20"/>
        </w:rPr>
        <w:t> </w:t>
      </w:r>
      <w:r>
        <w:rPr>
          <w:rFonts w:ascii="Times New Roman" w:hAnsi="Times New Roman" w:eastAsia="Times New Roman"/>
          <w:sz w:val="20"/>
        </w:rPr>
        <w:t>Iso-Ahola, 1991</w:t>
      </w:r>
      <w:r>
        <w:rPr>
          <w:rFonts w:ascii="Times New Roman" w:hAnsi="Times New Roman" w:eastAsia="Times New Roman"/>
          <w:spacing w:val="-1"/>
          <w:sz w:val="20"/>
        </w:rPr>
        <w:t>; </w:t>
      </w:r>
      <w:r>
        <w:rPr>
          <w:rFonts w:ascii="Times New Roman" w:hAnsi="Times New Roman" w:eastAsia="Times New Roman"/>
          <w:sz w:val="20"/>
        </w:rPr>
        <w:t>Yoon</w:t>
      </w:r>
      <w:r>
        <w:rPr>
          <w:rFonts w:ascii="Times New Roman" w:hAnsi="Times New Roman" w:eastAsia="Times New Roman"/>
          <w:spacing w:val="-4"/>
          <w:sz w:val="20"/>
        </w:rPr>
        <w:t> </w:t>
      </w:r>
      <w:r>
        <w:rPr>
          <w:rFonts w:ascii="Times New Roman" w:hAnsi="Times New Roman" w:eastAsia="Times New Roman"/>
          <w:sz w:val="20"/>
        </w:rPr>
        <w:t>&amp;</w:t>
      </w:r>
      <w:r>
        <w:rPr>
          <w:rFonts w:ascii="Times New Roman" w:hAnsi="Times New Roman" w:eastAsia="Times New Roman"/>
          <w:spacing w:val="-2"/>
          <w:sz w:val="20"/>
        </w:rPr>
        <w:t> </w:t>
      </w:r>
      <w:r>
        <w:rPr>
          <w:rFonts w:ascii="Times New Roman" w:hAnsi="Times New Roman" w:eastAsia="Times New Roman"/>
          <w:sz w:val="20"/>
        </w:rPr>
        <w:t>Uysal, 2005)</w:t>
      </w:r>
      <w:r>
        <w:rPr>
          <w:sz w:val="20"/>
        </w:rPr>
        <w:t>。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107" w:after="0"/>
        <w:ind w:left="460" w:right="0" w:hanging="361"/>
        <w:jc w:val="left"/>
        <w:rPr>
          <w:sz w:val="20"/>
        </w:rPr>
      </w:pPr>
      <w:r>
        <w:rPr>
          <w:sz w:val="20"/>
        </w:rPr>
        <w:t>引用時中文文獻在前，英文在後；以作者姓氏筆劃或姓氏字母順序先後排列。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100" w:after="0"/>
        <w:ind w:left="460" w:right="0" w:hanging="361"/>
        <w:jc w:val="left"/>
        <w:rPr>
          <w:sz w:val="20"/>
        </w:rPr>
      </w:pPr>
      <w:r>
        <w:rPr>
          <w:sz w:val="20"/>
        </w:rPr>
        <w:t>中文姓名以「、」連結，英文姓以「</w:t>
      </w:r>
      <w:r>
        <w:rPr>
          <w:rFonts w:ascii="Times New Roman" w:eastAsia="Times New Roman"/>
          <w:sz w:val="20"/>
        </w:rPr>
        <w:t>&amp;</w:t>
      </w:r>
      <w:r>
        <w:rPr>
          <w:sz w:val="20"/>
        </w:rPr>
        <w:t>」連結。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5" w:top="1420" w:bottom="1160" w:left="1700" w:right="164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460" w:val="left" w:leader="none"/>
          <w:tab w:pos="461" w:val="left" w:leader="none"/>
        </w:tabs>
        <w:spacing w:line="240" w:lineRule="auto" w:before="50" w:after="0"/>
        <w:ind w:left="460" w:right="0" w:hanging="361"/>
        <w:jc w:val="left"/>
        <w:rPr>
          <w:sz w:val="20"/>
        </w:rPr>
      </w:pPr>
      <w:r>
        <w:rPr>
          <w:sz w:val="20"/>
        </w:rPr>
        <w:t>中文文獻標點符號請用全形，括號採用半形，英文文獻字型請用半形。</w:t>
      </w:r>
    </w:p>
    <w:p>
      <w:pPr>
        <w:pStyle w:val="BodyText"/>
        <w:spacing w:before="6"/>
        <w:ind w:left="0"/>
        <w:rPr>
          <w:rFonts w:ascii="MingLiU"/>
          <w:sz w:val="27"/>
        </w:rPr>
      </w:pPr>
    </w:p>
    <w:p>
      <w:pPr>
        <w:pStyle w:val="Heading1"/>
        <w:spacing w:before="0"/>
      </w:pPr>
      <w:r>
        <w:rPr/>
        <w:t>四、參考文獻格式範例</w:t>
      </w:r>
    </w:p>
    <w:p>
      <w:pPr>
        <w:spacing w:before="14"/>
        <w:ind w:left="100" w:right="0" w:firstLine="0"/>
        <w:jc w:val="left"/>
        <w:rPr>
          <w:rFonts w:ascii="Microsoft JhengHei" w:eastAsia="Microsoft JhengHei" w:hint="eastAsia"/>
          <w:b/>
          <w:sz w:val="20"/>
        </w:rPr>
      </w:pPr>
      <w:r>
        <w:rPr>
          <w:b/>
          <w:sz w:val="20"/>
        </w:rPr>
        <w:t>(</w:t>
      </w:r>
      <w:r>
        <w:rPr>
          <w:rFonts w:ascii="Microsoft JhengHei" w:eastAsia="Microsoft JhengHei" w:hint="eastAsia"/>
          <w:b/>
          <w:sz w:val="20"/>
        </w:rPr>
        <w:t>一</w:t>
      </w:r>
      <w:r>
        <w:rPr>
          <w:b/>
          <w:sz w:val="20"/>
        </w:rPr>
        <w:t>)</w:t>
      </w:r>
      <w:r>
        <w:rPr>
          <w:rFonts w:ascii="Microsoft JhengHei" w:eastAsia="Microsoft JhengHei" w:hint="eastAsia"/>
          <w:b/>
          <w:sz w:val="20"/>
        </w:rPr>
        <w:t>《期刊》</w:t>
      </w:r>
    </w:p>
    <w:p>
      <w:pPr>
        <w:pStyle w:val="BodyText"/>
        <w:spacing w:line="213" w:lineRule="auto" w:before="99"/>
        <w:ind w:left="808" w:right="185" w:hanging="428"/>
        <w:rPr>
          <w:rFonts w:ascii="MingLiU" w:eastAsia="MingLiU" w:hint="eastAsia"/>
        </w:rPr>
      </w:pPr>
      <w:r>
        <w:rPr>
          <w:rFonts w:ascii="MingLiU" w:eastAsia="MingLiU" w:hint="eastAsia"/>
        </w:rPr>
        <w:t>黃英忠、黃培文，</w:t>
      </w:r>
      <w:r>
        <w:rPr/>
        <w:t>(2003)</w:t>
      </w:r>
      <w:r>
        <w:rPr>
          <w:rFonts w:ascii="MingLiU" w:eastAsia="MingLiU" w:hint="eastAsia"/>
        </w:rPr>
        <w:t>。實習工作價值觀的建構及其與工作投入的關係－以大專觀光、休閒、餐旅相關科系學生為例，</w:t>
      </w:r>
      <w:r>
        <w:rPr>
          <w:rFonts w:ascii="MingLiU" w:eastAsia="MingLiU" w:hint="eastAsia"/>
          <w:sz w:val="21"/>
        </w:rPr>
        <w:t>觀光研究學報</w:t>
      </w:r>
      <w:r>
        <w:rPr>
          <w:rFonts w:ascii="MingLiU" w:eastAsia="MingLiU" w:hint="eastAsia"/>
        </w:rPr>
        <w:t>，</w:t>
      </w:r>
      <w:r>
        <w:rPr>
          <w:i/>
        </w:rPr>
        <w:t>10</w:t>
      </w:r>
      <w:r>
        <w:rPr/>
        <w:t>(1)</w:t>
      </w:r>
      <w:r>
        <w:rPr>
          <w:rFonts w:ascii="MingLiU" w:eastAsia="MingLiU" w:hint="eastAsia"/>
        </w:rPr>
        <w:t>，</w:t>
      </w:r>
      <w:r>
        <w:rPr/>
        <w:t>63-79</w:t>
      </w:r>
      <w:r>
        <w:rPr>
          <w:rFonts w:ascii="MingLiU" w:eastAsia="MingLiU" w:hint="eastAsia"/>
        </w:rPr>
        <w:t>。</w:t>
      </w:r>
    </w:p>
    <w:p>
      <w:pPr>
        <w:pStyle w:val="BodyText"/>
        <w:spacing w:before="112"/>
        <w:ind w:left="808" w:right="379" w:hanging="428"/>
      </w:pPr>
      <w:r>
        <w:rPr/>
        <w:t>Bansal, H., &amp; Eiselt, H. A. (2004). Exploratory research of tourist motivations and planning. </w:t>
      </w:r>
      <w:r>
        <w:rPr>
          <w:i/>
        </w:rPr>
        <w:t>Tourism </w:t>
      </w:r>
      <w:r>
        <w:rPr>
          <w:i/>
        </w:rPr>
        <w:t>Management, 25</w:t>
      </w:r>
      <w:r>
        <w:rPr/>
        <w:t>(3), 387-396.</w:t>
      </w:r>
    </w:p>
    <w:p>
      <w:pPr>
        <w:pStyle w:val="Heading1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《專書或報告》</w:t>
      </w:r>
    </w:p>
    <w:p>
      <w:pPr>
        <w:spacing w:line="218" w:lineRule="auto" w:before="90"/>
        <w:ind w:left="808" w:right="182" w:hanging="428"/>
        <w:jc w:val="left"/>
        <w:rPr>
          <w:rFonts w:ascii="MingLiU" w:eastAsia="MingLiU" w:hint="eastAsia"/>
          <w:sz w:val="20"/>
        </w:rPr>
      </w:pPr>
      <w:r>
        <w:rPr>
          <w:rFonts w:ascii="MingLiU" w:eastAsia="MingLiU" w:hint="eastAsia"/>
          <w:w w:val="95"/>
          <w:sz w:val="20"/>
        </w:rPr>
        <w:t>行政院主計處，</w:t>
      </w:r>
      <w:r>
        <w:rPr>
          <w:w w:val="95"/>
          <w:sz w:val="20"/>
        </w:rPr>
        <w:t>(2001)</w:t>
      </w:r>
      <w:r>
        <w:rPr>
          <w:rFonts w:ascii="MingLiU" w:eastAsia="MingLiU" w:hint="eastAsia"/>
          <w:w w:val="95"/>
          <w:sz w:val="20"/>
        </w:rPr>
        <w:t>。</w:t>
      </w:r>
      <w:r>
        <w:rPr>
          <w:rFonts w:ascii="MingLiU" w:eastAsia="MingLiU" w:hint="eastAsia"/>
          <w:w w:val="95"/>
          <w:sz w:val="21"/>
        </w:rPr>
        <w:t>中華民國八十九年台灣地區社會發展趨勢調查報告</w:t>
      </w:r>
      <w:r>
        <w:rPr>
          <w:rFonts w:ascii="MingLiU" w:eastAsia="MingLiU" w:hint="eastAsia"/>
          <w:spacing w:val="-2"/>
          <w:w w:val="95"/>
          <w:sz w:val="20"/>
        </w:rPr>
        <w:t>。台北：行政院主計 </w:t>
      </w:r>
      <w:r>
        <w:rPr>
          <w:rFonts w:ascii="MingLiU" w:eastAsia="MingLiU" w:hint="eastAsia"/>
          <w:sz w:val="20"/>
        </w:rPr>
        <w:t>處。</w:t>
      </w:r>
    </w:p>
    <w:p>
      <w:pPr>
        <w:spacing w:line="218" w:lineRule="auto" w:before="119"/>
        <w:ind w:left="808" w:right="183" w:hanging="428"/>
        <w:jc w:val="left"/>
        <w:rPr>
          <w:rFonts w:ascii="MingLiU" w:eastAsia="MingLiU" w:hint="eastAsia"/>
          <w:sz w:val="20"/>
        </w:rPr>
      </w:pPr>
      <w:r>
        <w:rPr>
          <w:rFonts w:ascii="MingLiU" w:eastAsia="MingLiU" w:hint="eastAsia"/>
          <w:w w:val="95"/>
          <w:sz w:val="20"/>
        </w:rPr>
        <w:t>尚憶薇，</w:t>
      </w:r>
      <w:r>
        <w:rPr>
          <w:w w:val="95"/>
          <w:sz w:val="20"/>
        </w:rPr>
        <w:t>(2003)</w:t>
      </w:r>
      <w:r>
        <w:rPr>
          <w:rFonts w:ascii="MingLiU" w:eastAsia="MingLiU" w:hint="eastAsia"/>
          <w:w w:val="95"/>
          <w:sz w:val="20"/>
        </w:rPr>
        <w:t>。</w:t>
      </w:r>
      <w:r>
        <w:rPr>
          <w:rFonts w:ascii="MingLiU" w:eastAsia="MingLiU" w:hint="eastAsia"/>
          <w:w w:val="95"/>
          <w:sz w:val="21"/>
        </w:rPr>
        <w:t>花蓮地區老年人休閒動機與休閒阻礙之研究</w:t>
      </w:r>
      <w:r>
        <w:rPr>
          <w:rFonts w:ascii="MingLiU" w:eastAsia="MingLiU" w:hint="eastAsia"/>
          <w:spacing w:val="-1"/>
          <w:w w:val="95"/>
          <w:sz w:val="20"/>
        </w:rPr>
        <w:t>。國科會九十四年度專題研究計畫 </w:t>
      </w:r>
      <w:r>
        <w:rPr>
          <w:rFonts w:ascii="MingLiU" w:eastAsia="MingLiU" w:hint="eastAsia"/>
          <w:sz w:val="20"/>
        </w:rPr>
        <w:t>成果報告書，</w:t>
      </w:r>
      <w:r>
        <w:rPr>
          <w:sz w:val="20"/>
        </w:rPr>
        <w:t>NSC89-2413-H-259-006</w:t>
      </w:r>
      <w:r>
        <w:rPr>
          <w:rFonts w:ascii="MingLiU" w:eastAsia="MingLiU" w:hint="eastAsia"/>
          <w:sz w:val="20"/>
        </w:rPr>
        <w:t>。</w:t>
      </w:r>
    </w:p>
    <w:p>
      <w:pPr>
        <w:spacing w:line="312" w:lineRule="auto" w:before="97"/>
        <w:ind w:left="381" w:right="2850" w:firstLine="0"/>
        <w:jc w:val="left"/>
        <w:rPr>
          <w:rFonts w:ascii="MingLiU" w:eastAsia="MingLiU" w:hint="eastAsia"/>
          <w:sz w:val="20"/>
        </w:rPr>
      </w:pPr>
      <w:r>
        <w:rPr>
          <w:rFonts w:ascii="MingLiU" w:eastAsia="MingLiU" w:hint="eastAsia"/>
          <w:w w:val="95"/>
          <w:sz w:val="20"/>
        </w:rPr>
        <w:t>邱皓政，</w:t>
      </w:r>
      <w:r>
        <w:rPr>
          <w:w w:val="95"/>
          <w:sz w:val="20"/>
        </w:rPr>
        <w:t>(2006)</w:t>
      </w:r>
      <w:r>
        <w:rPr>
          <w:rFonts w:ascii="MingLiU" w:eastAsia="MingLiU" w:hint="eastAsia"/>
          <w:w w:val="95"/>
          <w:sz w:val="20"/>
        </w:rPr>
        <w:t>。</w:t>
      </w:r>
      <w:r>
        <w:rPr>
          <w:rFonts w:ascii="MingLiU" w:eastAsia="MingLiU" w:hint="eastAsia"/>
          <w:w w:val="95"/>
          <w:sz w:val="21"/>
        </w:rPr>
        <w:t>量化研究與統計分析</w:t>
      </w:r>
      <w:r>
        <w:rPr>
          <w:w w:val="95"/>
          <w:sz w:val="20"/>
        </w:rPr>
        <w:t>(</w:t>
      </w:r>
      <w:r>
        <w:rPr>
          <w:rFonts w:ascii="MingLiU" w:eastAsia="MingLiU" w:hint="eastAsia"/>
          <w:w w:val="95"/>
          <w:sz w:val="20"/>
        </w:rPr>
        <w:t>三版</w:t>
      </w:r>
      <w:r>
        <w:rPr>
          <w:w w:val="95"/>
          <w:sz w:val="20"/>
        </w:rPr>
        <w:t>)</w:t>
      </w:r>
      <w:r>
        <w:rPr>
          <w:rFonts w:ascii="MingLiU" w:eastAsia="MingLiU" w:hint="eastAsia"/>
          <w:spacing w:val="-2"/>
          <w:w w:val="95"/>
          <w:sz w:val="20"/>
        </w:rPr>
        <w:t>，台北：五南文化。 </w:t>
      </w:r>
      <w:r>
        <w:rPr>
          <w:rFonts w:ascii="MingLiU" w:eastAsia="MingLiU" w:hint="eastAsia"/>
          <w:sz w:val="20"/>
        </w:rPr>
        <w:t>張明洵、林玥秀，</w:t>
      </w:r>
      <w:r>
        <w:rPr>
          <w:sz w:val="20"/>
        </w:rPr>
        <w:t>(2002)</w:t>
      </w:r>
      <w:r>
        <w:rPr>
          <w:rFonts w:ascii="MingLiU" w:eastAsia="MingLiU" w:hint="eastAsia"/>
          <w:sz w:val="20"/>
        </w:rPr>
        <w:t>。</w:t>
      </w:r>
      <w:r>
        <w:rPr>
          <w:rFonts w:ascii="MingLiU" w:eastAsia="MingLiU" w:hint="eastAsia"/>
          <w:sz w:val="21"/>
        </w:rPr>
        <w:t>解說概論</w:t>
      </w:r>
      <w:r>
        <w:rPr>
          <w:rFonts w:ascii="MingLiU" w:eastAsia="MingLiU" w:hint="eastAsia"/>
          <w:sz w:val="20"/>
        </w:rPr>
        <w:t>。台北：揚智文化。</w:t>
      </w:r>
    </w:p>
    <w:p>
      <w:pPr>
        <w:spacing w:before="11"/>
        <w:ind w:left="808" w:right="1045" w:hanging="428"/>
        <w:jc w:val="left"/>
        <w:rPr>
          <w:sz w:val="20"/>
        </w:rPr>
      </w:pPr>
      <w:r>
        <w:rPr>
          <w:sz w:val="20"/>
        </w:rPr>
        <w:t>Godbey, G. (2003). </w:t>
      </w:r>
      <w:r>
        <w:rPr>
          <w:i/>
          <w:sz w:val="20"/>
        </w:rPr>
        <w:t>Leisure in your life: An exploration </w:t>
      </w:r>
      <w:r>
        <w:rPr>
          <w:sz w:val="20"/>
        </w:rPr>
        <w:t>(6th ed.). State College, PA: Venture Publishing.</w:t>
      </w:r>
    </w:p>
    <w:p>
      <w:pPr>
        <w:pStyle w:val="BodyText"/>
        <w:spacing w:before="121"/>
        <w:ind w:left="808" w:right="389" w:hanging="428"/>
      </w:pPr>
      <w:r>
        <w:rPr/>
        <w:t>Hair, J. F. Jr., Black, W. C., Babin, B. J., Anderson, R. E., &amp; Tatham, R. L. (2006). </w:t>
      </w:r>
      <w:r>
        <w:rPr>
          <w:i/>
        </w:rPr>
        <w:t>Multivariate data </w:t>
      </w:r>
      <w:r>
        <w:rPr>
          <w:i/>
        </w:rPr>
        <w:t>analysis </w:t>
      </w:r>
      <w:r>
        <w:rPr/>
        <w:t>(6th ed.). Upper Saddle River, NJ: Pearson Education.</w:t>
      </w:r>
    </w:p>
    <w:p>
      <w:pPr>
        <w:spacing w:before="121"/>
        <w:ind w:left="808" w:right="433" w:hanging="428"/>
        <w:jc w:val="left"/>
        <w:rPr>
          <w:sz w:val="20"/>
        </w:rPr>
      </w:pPr>
      <w:r>
        <w:rPr>
          <w:sz w:val="20"/>
        </w:rPr>
        <w:t>Jöreskog, K. G., &amp; Sörbom, D. (1989). </w:t>
      </w:r>
      <w:r>
        <w:rPr>
          <w:i/>
          <w:sz w:val="20"/>
        </w:rPr>
        <w:t>LISREL 7: A guide to the program and application. </w:t>
      </w:r>
      <w:r>
        <w:rPr>
          <w:sz w:val="20"/>
        </w:rPr>
        <w:t>Chicago: SPSS Inc.</w:t>
      </w:r>
    </w:p>
    <w:p>
      <w:pPr>
        <w:pStyle w:val="Heading1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</w:rPr>
        <w:t>) </w:t>
      </w:r>
      <w:r>
        <w:rPr/>
        <w:t>《翻譯書、編輯書中的文章》</w:t>
      </w:r>
    </w:p>
    <w:p>
      <w:pPr>
        <w:pStyle w:val="BodyText"/>
        <w:spacing w:line="218" w:lineRule="auto" w:before="89"/>
        <w:ind w:left="808" w:right="182" w:hanging="428"/>
        <w:rPr>
          <w:rFonts w:ascii="MingLiU" w:eastAsia="MingLiU" w:hint="eastAsia"/>
        </w:rPr>
      </w:pPr>
      <w:r>
        <w:rPr>
          <w:rFonts w:ascii="MingLiU" w:eastAsia="MingLiU" w:hint="eastAsia"/>
          <w:w w:val="95"/>
        </w:rPr>
        <w:t>吳忠宏，</w:t>
      </w:r>
      <w:r>
        <w:rPr>
          <w:w w:val="95"/>
        </w:rPr>
        <w:t>(2007)</w:t>
      </w:r>
      <w:r>
        <w:rPr>
          <w:rFonts w:ascii="MingLiU" w:eastAsia="MingLiU" w:hint="eastAsia"/>
          <w:w w:val="95"/>
        </w:rPr>
        <w:t>。休閒遊憩解說服務。歐聖榮</w:t>
      </w:r>
      <w:r>
        <w:rPr>
          <w:w w:val="95"/>
        </w:rPr>
        <w:t>(</w:t>
      </w:r>
      <w:r>
        <w:rPr>
          <w:rFonts w:ascii="MingLiU" w:eastAsia="MingLiU" w:hint="eastAsia"/>
          <w:w w:val="95"/>
        </w:rPr>
        <w:t>主編</w:t>
      </w:r>
      <w:r>
        <w:rPr>
          <w:w w:val="95"/>
        </w:rPr>
        <w:t>)</w:t>
      </w:r>
      <w:r>
        <w:rPr>
          <w:rFonts w:ascii="MingLiU" w:eastAsia="MingLiU" w:hint="eastAsia"/>
          <w:w w:val="95"/>
        </w:rPr>
        <w:t>，</w:t>
      </w:r>
      <w:r>
        <w:rPr>
          <w:rFonts w:ascii="MingLiU" w:eastAsia="MingLiU" w:hint="eastAsia"/>
          <w:w w:val="95"/>
          <w:sz w:val="21"/>
        </w:rPr>
        <w:t>休閒遊憩：理論與實務</w:t>
      </w:r>
      <w:r>
        <w:rPr>
          <w:rFonts w:ascii="MingLiU" w:eastAsia="MingLiU" w:hint="eastAsia"/>
          <w:w w:val="95"/>
        </w:rPr>
        <w:t>，</w:t>
      </w:r>
      <w:r>
        <w:rPr>
          <w:w w:val="95"/>
        </w:rPr>
        <w:t>254-282</w:t>
      </w:r>
      <w:r>
        <w:rPr>
          <w:rFonts w:ascii="MingLiU" w:eastAsia="MingLiU" w:hint="eastAsia"/>
          <w:w w:val="95"/>
        </w:rPr>
        <w:t>。台北：  </w:t>
      </w:r>
      <w:r>
        <w:rPr>
          <w:rFonts w:ascii="MingLiU" w:eastAsia="MingLiU" w:hint="eastAsia"/>
        </w:rPr>
        <w:t>前程文化。</w:t>
      </w:r>
    </w:p>
    <w:p>
      <w:pPr>
        <w:pStyle w:val="BodyText"/>
        <w:spacing w:line="216" w:lineRule="auto" w:before="119"/>
        <w:ind w:left="808" w:right="122" w:hanging="428"/>
        <w:rPr>
          <w:rFonts w:ascii="MingLiU" w:hAnsi="MingLiU" w:eastAsia="MingLiU" w:hint="eastAsia"/>
        </w:rPr>
      </w:pPr>
      <w:r>
        <w:rPr/>
        <w:t>Rosenbluth, H. F., &amp; Peters, D. M. (2005). </w:t>
      </w:r>
      <w:r>
        <w:rPr>
          <w:rFonts w:ascii="MingLiU" w:hAnsi="MingLiU" w:eastAsia="MingLiU" w:hint="eastAsia"/>
          <w:sz w:val="21"/>
        </w:rPr>
        <w:t>顧客第</w:t>
      </w:r>
      <w:r>
        <w:rPr>
          <w:i/>
        </w:rPr>
        <w:t>2—</w:t>
      </w:r>
      <w:r>
        <w:rPr>
          <w:rFonts w:ascii="MingLiU" w:hAnsi="MingLiU" w:eastAsia="MingLiU" w:hint="eastAsia"/>
          <w:sz w:val="21"/>
        </w:rPr>
        <w:t>一家百年老店蛻變為企業創新典範的眞實故事</w:t>
      </w:r>
      <w:r>
        <w:rPr/>
        <w:t>(</w:t>
      </w:r>
      <w:r>
        <w:rPr>
          <w:rFonts w:ascii="MingLiU" w:hAnsi="MingLiU" w:eastAsia="MingLiU" w:hint="eastAsia"/>
        </w:rPr>
        <w:t>徐曉慧譯</w:t>
      </w:r>
      <w:r>
        <w:rPr/>
        <w:t>)</w:t>
      </w:r>
      <w:r>
        <w:rPr>
          <w:rFonts w:ascii="MingLiU" w:hAnsi="MingLiU" w:eastAsia="MingLiU" w:hint="eastAsia"/>
        </w:rPr>
        <w:t>，譯自</w:t>
      </w:r>
      <w:r>
        <w:rPr/>
        <w:t>The customer comes second: Put your people first and watch’em kick butt.</w:t>
      </w:r>
      <w:r>
        <w:rPr>
          <w:rFonts w:ascii="MingLiU" w:hAnsi="MingLiU" w:eastAsia="MingLiU" w:hint="eastAsia"/>
        </w:rPr>
        <w:t>， 台北：臉譜，</w:t>
      </w:r>
      <w:r>
        <w:rPr/>
        <w:t>(</w:t>
      </w:r>
      <w:r>
        <w:rPr>
          <w:rFonts w:ascii="MingLiU" w:hAnsi="MingLiU" w:eastAsia="MingLiU" w:hint="eastAsia"/>
        </w:rPr>
        <w:t>原文於</w:t>
      </w:r>
      <w:r>
        <w:rPr/>
        <w:t>2002 </w:t>
      </w:r>
      <w:r>
        <w:rPr>
          <w:rFonts w:ascii="MingLiU" w:hAnsi="MingLiU" w:eastAsia="MingLiU" w:hint="eastAsia"/>
        </w:rPr>
        <w:t>年出版</w:t>
      </w:r>
      <w:r>
        <w:rPr/>
        <w:t>)</w:t>
      </w:r>
      <w:r>
        <w:rPr>
          <w:rFonts w:ascii="MingLiU" w:hAnsi="MingLiU" w:eastAsia="MingLiU" w:hint="eastAsia"/>
        </w:rPr>
        <w:t>。</w:t>
      </w:r>
    </w:p>
    <w:p>
      <w:pPr>
        <w:pStyle w:val="BodyText"/>
        <w:spacing w:before="115"/>
        <w:ind w:left="808" w:right="185" w:hanging="428"/>
      </w:pPr>
      <w:r>
        <w:rPr/>
        <w:t>Kessler, R. C., &amp; McLeod, J. (1985). Social support and mental health in community samples. In S. Cohen &amp; S. Syme (Eds.), </w:t>
      </w:r>
      <w:r>
        <w:rPr>
          <w:i/>
        </w:rPr>
        <w:t>Social support and health </w:t>
      </w:r>
      <w:r>
        <w:rPr/>
        <w:t>(pp. 219-240). New York: Academic</w:t>
      </w:r>
      <w:r>
        <w:rPr>
          <w:spacing w:val="-27"/>
        </w:rPr>
        <w:t> </w:t>
      </w:r>
      <w:r>
        <w:rPr/>
        <w:t>Press.</w:t>
      </w:r>
    </w:p>
    <w:p>
      <w:pPr>
        <w:spacing w:before="118"/>
        <w:ind w:left="808" w:right="141" w:hanging="428"/>
        <w:jc w:val="left"/>
        <w:rPr>
          <w:sz w:val="20"/>
        </w:rPr>
      </w:pPr>
      <w:r>
        <w:rPr>
          <w:sz w:val="20"/>
        </w:rPr>
        <w:t>Schwartz, S. H. (1992). Universals in the content and structure of values: Theoretical and empirical tests in 20 countries. In M. P. Zanna (Ed.), </w:t>
      </w:r>
      <w:r>
        <w:rPr>
          <w:i/>
          <w:sz w:val="20"/>
        </w:rPr>
        <w:t>Advances in experimental social psychology </w:t>
      </w:r>
      <w:r>
        <w:rPr>
          <w:sz w:val="20"/>
        </w:rPr>
        <w:t>(Vol. 25,</w:t>
      </w:r>
      <w:r>
        <w:rPr>
          <w:spacing w:val="-11"/>
          <w:sz w:val="20"/>
        </w:rPr>
        <w:t> </w:t>
      </w:r>
      <w:r>
        <w:rPr>
          <w:sz w:val="20"/>
        </w:rPr>
        <w:t>pp.</w:t>
      </w:r>
    </w:p>
    <w:p>
      <w:pPr>
        <w:pStyle w:val="BodyText"/>
        <w:spacing w:before="1"/>
        <w:ind w:left="808"/>
      </w:pPr>
      <w:r>
        <w:rPr/>
        <w:t>1-65). New York: Academic Press.</w:t>
      </w:r>
    </w:p>
    <w:p>
      <w:pPr>
        <w:pStyle w:val="Heading1"/>
        <w:spacing w:before="51"/>
      </w:pPr>
      <w:r>
        <w:rPr>
          <w:rFonts w:ascii="Times New Roman" w:eastAsia="Times New Roman"/>
        </w:rPr>
        <w:t>(</w:t>
      </w:r>
      <w:r>
        <w:rPr/>
        <w:t>四</w:t>
      </w:r>
      <w:r>
        <w:rPr>
          <w:rFonts w:ascii="Times New Roman" w:eastAsia="Times New Roman"/>
        </w:rPr>
        <w:t>)</w:t>
      </w:r>
      <w:r>
        <w:rPr/>
        <w:t>《研討會論文集、會議發表文章》</w:t>
      </w:r>
    </w:p>
    <w:p>
      <w:pPr>
        <w:spacing w:line="216" w:lineRule="auto" w:before="88"/>
        <w:ind w:left="808" w:right="156" w:hanging="428"/>
        <w:jc w:val="both"/>
        <w:rPr>
          <w:rFonts w:ascii="MingLiU" w:eastAsia="MingLiU" w:hint="eastAsia"/>
          <w:sz w:val="20"/>
        </w:rPr>
      </w:pPr>
      <w:r>
        <w:rPr>
          <w:rFonts w:ascii="MingLiU" w:eastAsia="MingLiU" w:hint="eastAsia"/>
          <w:spacing w:val="-4"/>
          <w:w w:val="95"/>
          <w:sz w:val="20"/>
        </w:rPr>
        <w:t>陳玲燕、陳建和，</w:t>
      </w:r>
      <w:r>
        <w:rPr>
          <w:w w:val="95"/>
          <w:sz w:val="20"/>
        </w:rPr>
        <w:t>(2007)</w:t>
      </w:r>
      <w:r>
        <w:rPr>
          <w:rFonts w:ascii="MingLiU" w:eastAsia="MingLiU" w:hint="eastAsia"/>
          <w:spacing w:val="-2"/>
          <w:w w:val="95"/>
          <w:sz w:val="20"/>
        </w:rPr>
        <w:t>。北投地區保健旅遊產品之遊客偏好研究</w:t>
      </w:r>
      <w:r>
        <w:rPr>
          <w:w w:val="95"/>
          <w:sz w:val="20"/>
        </w:rPr>
        <w:t>-</w:t>
      </w:r>
      <w:r>
        <w:rPr>
          <w:rFonts w:ascii="MingLiU" w:eastAsia="MingLiU" w:hint="eastAsia"/>
          <w:spacing w:val="-2"/>
          <w:w w:val="95"/>
          <w:sz w:val="20"/>
        </w:rPr>
        <w:t>以國人健檢旅遊為例。</w:t>
      </w:r>
      <w:r>
        <w:rPr>
          <w:rFonts w:ascii="MingLiU" w:eastAsia="MingLiU" w:hint="eastAsia"/>
          <w:w w:val="95"/>
          <w:sz w:val="21"/>
        </w:rPr>
        <w:t>真理大  </w:t>
      </w:r>
      <w:r>
        <w:rPr>
          <w:rFonts w:ascii="MingLiU" w:eastAsia="MingLiU" w:hint="eastAsia"/>
          <w:spacing w:val="-1"/>
          <w:w w:val="95"/>
          <w:sz w:val="21"/>
        </w:rPr>
        <w:t>學觀光事業學系「</w:t>
      </w:r>
      <w:r>
        <w:rPr>
          <w:i/>
          <w:w w:val="95"/>
          <w:sz w:val="20"/>
        </w:rPr>
        <w:t>2007 </w:t>
      </w:r>
      <w:r>
        <w:rPr>
          <w:rFonts w:ascii="MingLiU" w:eastAsia="MingLiU" w:hint="eastAsia"/>
          <w:spacing w:val="-1"/>
          <w:w w:val="95"/>
          <w:sz w:val="21"/>
        </w:rPr>
        <w:t>年真理大學觀光學術研討會」論文集</w:t>
      </w:r>
      <w:r>
        <w:rPr>
          <w:rFonts w:ascii="MingLiU" w:eastAsia="MingLiU" w:hint="eastAsia"/>
          <w:w w:val="95"/>
          <w:sz w:val="20"/>
        </w:rPr>
        <w:t>，</w:t>
      </w:r>
      <w:r>
        <w:rPr>
          <w:w w:val="95"/>
          <w:sz w:val="20"/>
        </w:rPr>
        <w:t>109-114</w:t>
      </w:r>
      <w:r>
        <w:rPr>
          <w:rFonts w:ascii="MingLiU" w:eastAsia="MingLiU" w:hint="eastAsia"/>
          <w:spacing w:val="-3"/>
          <w:w w:val="95"/>
          <w:sz w:val="20"/>
        </w:rPr>
        <w:t>，台北：真理大學觀</w:t>
      </w:r>
      <w:r>
        <w:rPr>
          <w:rFonts w:ascii="MingLiU" w:eastAsia="MingLiU" w:hint="eastAsia"/>
          <w:spacing w:val="-3"/>
          <w:sz w:val="20"/>
        </w:rPr>
        <w:t>光事業學系。</w:t>
      </w:r>
    </w:p>
    <w:p>
      <w:pPr>
        <w:pStyle w:val="BodyText"/>
        <w:spacing w:line="223" w:lineRule="auto" w:before="123"/>
        <w:ind w:left="808" w:right="192" w:hanging="428"/>
        <w:jc w:val="both"/>
        <w:rPr>
          <w:rFonts w:ascii="MingLiU" w:eastAsia="MingLiU" w:hint="eastAsia"/>
        </w:rPr>
      </w:pPr>
      <w:r>
        <w:rPr>
          <w:rFonts w:ascii="MingLiU" w:eastAsia="MingLiU" w:hint="eastAsia"/>
        </w:rPr>
        <w:t>謝玉文、劉秉睿、陳彥伯、莊翰華，</w:t>
      </w:r>
      <w:r>
        <w:rPr/>
        <w:t>(2005/11</w:t>
      </w:r>
      <w:r>
        <w:rPr>
          <w:rFonts w:ascii="MingLiU" w:eastAsia="MingLiU" w:hint="eastAsia"/>
        </w:rPr>
        <w:t>）。大型花卉觀光活動效益評估之研究</w:t>
      </w:r>
      <w:r>
        <w:rPr/>
        <w:t>-2005 </w:t>
      </w:r>
      <w:r>
        <w:rPr>
          <w:rFonts w:ascii="MingLiU" w:eastAsia="MingLiU" w:hint="eastAsia"/>
        </w:rPr>
        <w:t>台灣花卉博覽會為例，論文發表於「</w:t>
      </w:r>
      <w:r>
        <w:rPr/>
        <w:t>2005 </w:t>
      </w:r>
      <w:r>
        <w:rPr>
          <w:rFonts w:ascii="MingLiU" w:eastAsia="MingLiU" w:hint="eastAsia"/>
        </w:rPr>
        <w:t>年不動產與城鄉學術研討會」，台北：國立台北大學不動產與城鄉環境學系。</w:t>
      </w:r>
    </w:p>
    <w:p>
      <w:pPr>
        <w:spacing w:before="112"/>
        <w:ind w:left="808" w:right="451" w:hanging="428"/>
        <w:jc w:val="left"/>
        <w:rPr>
          <w:sz w:val="20"/>
        </w:rPr>
      </w:pPr>
      <w:r>
        <w:rPr>
          <w:sz w:val="20"/>
        </w:rPr>
        <w:t>Deci, E. L., &amp; Ryan, R. M. (1991). A motivational approach to self: Integration in personality. In R. Dienstbier (Ed.), </w:t>
      </w:r>
      <w:r>
        <w:rPr>
          <w:i/>
          <w:sz w:val="20"/>
        </w:rPr>
        <w:t>Nebraska Symposium on Motivation: Vol. 38. Perspectives on motivation </w:t>
      </w:r>
      <w:r>
        <w:rPr>
          <w:sz w:val="20"/>
        </w:rPr>
        <w:t>(pp.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965" w:top="1380" w:bottom="1160" w:left="1700" w:right="1640"/>
        </w:sectPr>
      </w:pPr>
    </w:p>
    <w:p>
      <w:pPr>
        <w:pStyle w:val="BodyText"/>
        <w:spacing w:before="73"/>
        <w:ind w:left="808"/>
      </w:pPr>
      <w:r>
        <w:rPr/>
        <w:t>237-288). Lincoln: University of Nebraska Press.</w:t>
      </w:r>
    </w:p>
    <w:p>
      <w:pPr>
        <w:spacing w:before="121"/>
        <w:ind w:left="808" w:right="494" w:hanging="428"/>
        <w:jc w:val="left"/>
        <w:rPr>
          <w:sz w:val="20"/>
        </w:rPr>
      </w:pPr>
      <w:r>
        <w:rPr>
          <w:sz w:val="20"/>
        </w:rPr>
        <w:t>Lanktree, C., &amp; Briere, J. (1991, January). </w:t>
      </w:r>
      <w:r>
        <w:rPr>
          <w:i/>
          <w:sz w:val="20"/>
        </w:rPr>
        <w:t>Early data on Trauma Symptom Checklist for Children </w:t>
      </w:r>
      <w:r>
        <w:rPr>
          <w:i/>
          <w:sz w:val="20"/>
        </w:rPr>
        <w:t>(TSC-C). </w:t>
      </w:r>
      <w:r>
        <w:rPr>
          <w:sz w:val="20"/>
        </w:rPr>
        <w:t>Paper presented at the meeting of the American Professional Society on the Abuse of Children, San Diego, CA.</w:t>
      </w:r>
    </w:p>
    <w:p>
      <w:pPr>
        <w:pStyle w:val="Heading1"/>
      </w:pPr>
      <w:r>
        <w:rPr>
          <w:rFonts w:ascii="Times New Roman" w:eastAsia="Times New Roman"/>
        </w:rPr>
        <w:t>(</w:t>
      </w:r>
      <w:r>
        <w:rPr/>
        <w:t>五</w:t>
      </w:r>
      <w:r>
        <w:rPr>
          <w:rFonts w:ascii="Times New Roman" w:eastAsia="Times New Roman"/>
        </w:rPr>
        <w:t>)</w:t>
      </w:r>
      <w:r>
        <w:rPr/>
        <w:t>《學位論文》</w:t>
      </w:r>
    </w:p>
    <w:p>
      <w:pPr>
        <w:spacing w:line="218" w:lineRule="auto" w:before="89"/>
        <w:ind w:left="808" w:right="182" w:hanging="428"/>
        <w:jc w:val="left"/>
        <w:rPr>
          <w:rFonts w:ascii="MingLiU" w:eastAsia="MingLiU" w:hint="eastAsia"/>
          <w:sz w:val="20"/>
        </w:rPr>
      </w:pPr>
      <w:r>
        <w:rPr>
          <w:rFonts w:ascii="MingLiU" w:eastAsia="MingLiU" w:hint="eastAsia"/>
          <w:w w:val="95"/>
          <w:sz w:val="20"/>
        </w:rPr>
        <w:t>葉純菊，</w:t>
      </w:r>
      <w:r>
        <w:rPr>
          <w:w w:val="95"/>
          <w:sz w:val="20"/>
        </w:rPr>
        <w:t>(2005)</w:t>
      </w:r>
      <w:r>
        <w:rPr>
          <w:rFonts w:ascii="MingLiU" w:eastAsia="MingLiU" w:hint="eastAsia"/>
          <w:w w:val="95"/>
          <w:sz w:val="20"/>
        </w:rPr>
        <w:t>。</w:t>
      </w:r>
      <w:r>
        <w:rPr>
          <w:rFonts w:ascii="MingLiU" w:eastAsia="MingLiU" w:hint="eastAsia"/>
          <w:w w:val="95"/>
          <w:sz w:val="21"/>
        </w:rPr>
        <w:t>遊客參與台灣咖啡節的休閒動機、休閒效益與滿意度之相關研究</w:t>
      </w:r>
      <w:r>
        <w:rPr>
          <w:rFonts w:ascii="MingLiU" w:eastAsia="MingLiU" w:hint="eastAsia"/>
          <w:w w:val="95"/>
          <w:sz w:val="20"/>
        </w:rPr>
        <w:t>。國立雲林科</w:t>
      </w:r>
      <w:r>
        <w:rPr>
          <w:rFonts w:ascii="MingLiU" w:eastAsia="MingLiU" w:hint="eastAsia"/>
          <w:sz w:val="20"/>
        </w:rPr>
        <w:t>技大學休閒運動研究所未出版之碩士論文。</w:t>
      </w:r>
    </w:p>
    <w:p>
      <w:pPr>
        <w:spacing w:before="111"/>
        <w:ind w:left="808" w:right="139" w:hanging="428"/>
        <w:jc w:val="left"/>
        <w:rPr>
          <w:sz w:val="20"/>
        </w:rPr>
      </w:pPr>
      <w:r>
        <w:rPr>
          <w:sz w:val="20"/>
        </w:rPr>
        <w:t>Bledsoe, L. K. (1998). </w:t>
      </w:r>
      <w:r>
        <w:rPr>
          <w:i/>
          <w:sz w:val="20"/>
        </w:rPr>
        <w:t>Smoking cessation: An application of the theory of planned behavior to </w:t>
      </w:r>
      <w:r>
        <w:rPr>
          <w:i/>
          <w:sz w:val="20"/>
        </w:rPr>
        <w:t>understanding progress through stages of change</w:t>
      </w:r>
      <w:r>
        <w:rPr>
          <w:sz w:val="20"/>
        </w:rPr>
        <w:t>. Unpublished doctoral dissertation, University of Louisville, Kentucky.</w:t>
      </w:r>
    </w:p>
    <w:p>
      <w:pPr>
        <w:pStyle w:val="Heading1"/>
        <w:spacing w:before="52"/>
      </w:pPr>
      <w:r>
        <w:rPr>
          <w:rFonts w:ascii="Times New Roman" w:eastAsia="Times New Roman"/>
        </w:rPr>
        <w:t>(</w:t>
      </w:r>
      <w:r>
        <w:rPr/>
        <w:t>六</w:t>
      </w:r>
      <w:r>
        <w:rPr>
          <w:rFonts w:ascii="Times New Roman" w:eastAsia="Times New Roman"/>
        </w:rPr>
        <w:t>)</w:t>
      </w:r>
      <w:r>
        <w:rPr/>
        <w:t>《報紙文章》</w:t>
      </w:r>
    </w:p>
    <w:p>
      <w:pPr>
        <w:pStyle w:val="BodyText"/>
        <w:ind w:left="381"/>
        <w:rPr>
          <w:rFonts w:ascii="MingLiU" w:eastAsia="MingLiU" w:hint="eastAsia"/>
        </w:rPr>
      </w:pPr>
      <w:r>
        <w:rPr>
          <w:rFonts w:ascii="MingLiU" w:eastAsia="MingLiU" w:hint="eastAsia"/>
        </w:rPr>
        <w:t>黃仁謙，</w:t>
      </w:r>
      <w:r>
        <w:rPr/>
        <w:t>(2007/10 /6 )</w:t>
      </w:r>
      <w:r>
        <w:rPr>
          <w:rFonts w:ascii="MingLiU" w:eastAsia="MingLiU" w:hint="eastAsia"/>
        </w:rPr>
        <w:t>，圓山飯店搶健檢商機，經濟日報，</w:t>
      </w:r>
      <w:r>
        <w:rPr/>
        <w:t>A7 </w:t>
      </w:r>
      <w:r>
        <w:rPr>
          <w:rFonts w:ascii="MingLiU" w:eastAsia="MingLiU" w:hint="eastAsia"/>
        </w:rPr>
        <w:t>版。</w:t>
      </w:r>
    </w:p>
    <w:p>
      <w:pPr>
        <w:pStyle w:val="BodyText"/>
        <w:spacing w:before="105"/>
        <w:ind w:left="381"/>
      </w:pPr>
      <w:r>
        <w:rPr/>
        <w:t>Schwartz, J. (1993, September 30). Obesity affects economic, social status. </w:t>
      </w:r>
      <w:r>
        <w:rPr>
          <w:i/>
        </w:rPr>
        <w:t>The Washington Post</w:t>
      </w:r>
      <w:r>
        <w:rPr/>
        <w:t>, pp.</w:t>
      </w:r>
    </w:p>
    <w:p>
      <w:pPr>
        <w:pStyle w:val="BodyText"/>
        <w:spacing w:before="1"/>
        <w:ind w:left="808"/>
      </w:pPr>
      <w:r>
        <w:rPr/>
        <w:t>A1, A4.</w:t>
      </w:r>
    </w:p>
    <w:p>
      <w:pPr>
        <w:pStyle w:val="Heading1"/>
        <w:spacing w:before="48"/>
      </w:pPr>
      <w:r>
        <w:rPr>
          <w:rFonts w:ascii="Times New Roman" w:eastAsia="Times New Roman"/>
        </w:rPr>
        <w:t>(</w:t>
      </w:r>
      <w:r>
        <w:rPr/>
        <w:t>七</w:t>
      </w:r>
      <w:r>
        <w:rPr>
          <w:rFonts w:ascii="Times New Roman" w:eastAsia="Times New Roman"/>
        </w:rPr>
        <w:t>)</w:t>
      </w:r>
      <w:r>
        <w:rPr/>
        <w:t>《網路文章》</w:t>
      </w:r>
    </w:p>
    <w:p>
      <w:pPr>
        <w:pStyle w:val="BodyText"/>
        <w:spacing w:line="230" w:lineRule="auto" w:before="88"/>
        <w:ind w:left="808" w:right="883" w:hanging="428"/>
        <w:rPr>
          <w:rFonts w:ascii="MingLiU" w:eastAsia="MingLiU" w:hint="eastAsia"/>
        </w:rPr>
      </w:pPr>
      <w:r>
        <w:rPr>
          <w:rFonts w:ascii="MingLiU" w:eastAsia="MingLiU" w:hint="eastAsia"/>
        </w:rPr>
        <w:t>交通部觀光局，</w:t>
      </w:r>
      <w:r>
        <w:rPr/>
        <w:t>(2007)</w:t>
      </w:r>
      <w:r>
        <w:rPr>
          <w:rFonts w:ascii="MingLiU" w:eastAsia="MingLiU" w:hint="eastAsia"/>
        </w:rPr>
        <w:t>。</w:t>
      </w:r>
      <w:r>
        <w:rPr/>
        <w:t>2007 </w:t>
      </w:r>
      <w:r>
        <w:rPr>
          <w:rFonts w:ascii="MingLiU" w:eastAsia="MingLiU" w:hint="eastAsia"/>
        </w:rPr>
        <w:t>年</w:t>
      </w:r>
      <w:r>
        <w:rPr/>
        <w:t>1 </w:t>
      </w:r>
      <w:r>
        <w:rPr>
          <w:rFonts w:ascii="MingLiU" w:eastAsia="MingLiU" w:hint="eastAsia"/>
        </w:rPr>
        <w:t>月觀光旅館房間數及家數總表【線上資料】，來源： </w:t>
      </w:r>
      <w:hyperlink r:id="rId6">
        <w:r>
          <w:rPr>
            <w:color w:val="0000FF"/>
          </w:rPr>
          <w:t>http://admin.taiwan.net.tw/statistics/month_show.asp?selno=52&amp;selyear=2007&amp;selmont</w:t>
        </w:r>
      </w:hyperlink>
      <w:r>
        <w:rPr>
          <w:color w:val="0000FF"/>
        </w:rPr>
        <w:t> </w:t>
      </w:r>
      <w:r>
        <w:rPr/>
        <w:t>h=1&amp;sikey=1 [2008, March 12]</w:t>
      </w:r>
      <w:r>
        <w:rPr>
          <w:rFonts w:ascii="MingLiU" w:eastAsia="MingLiU" w:hint="eastAsia"/>
        </w:rPr>
        <w:t>。</w:t>
      </w:r>
    </w:p>
    <w:p>
      <w:pPr>
        <w:pStyle w:val="BodyText"/>
        <w:spacing w:before="107"/>
        <w:ind w:left="808" w:right="174" w:hanging="428"/>
      </w:pPr>
      <w:r>
        <w:rPr/>
        <w:t>Adam, C. (2007). </w:t>
      </w:r>
      <w:r>
        <w:rPr>
          <w:i/>
        </w:rPr>
        <w:t>Holiday motives</w:t>
      </w:r>
      <w:r>
        <w:rPr/>
        <w:t>. Retrieved October 15, 2007, from </w:t>
      </w:r>
      <w:hyperlink r:id="rId7">
        <w:r>
          <w:rPr>
            <w:color w:val="0000FF"/>
            <w:w w:val="95"/>
          </w:rPr>
          <w:t>http://search.ebscohost.com/login.aspx?direct=true&amp;db=buh&amp;AN=24766031&amp;lang=zh-tw&amp;site=b</w:t>
        </w:r>
      </w:hyperlink>
      <w:r>
        <w:rPr>
          <w:color w:val="0000FF"/>
          <w:w w:val="95"/>
        </w:rPr>
        <w:t> </w:t>
      </w:r>
      <w:hyperlink r:id="rId7">
        <w:r>
          <w:rPr>
            <w:color w:val="0000FF"/>
          </w:rPr>
          <w:t>si-live</w:t>
        </w:r>
      </w:hyperlink>
    </w:p>
    <w:sectPr>
      <w:pgSz w:w="12240" w:h="15840"/>
      <w:pgMar w:header="0" w:footer="965" w:top="1360" w:bottom="1160" w:left="17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MingLiU">
    <w:altName w:val="MingLiU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49988pt;margin-top:732.77002pt;width:9.050pt;height:12pt;mso-position-horizontal-relative:page;mso-position-vertical-relative:page;z-index:-251774976" type="#_x0000_t202" filled="false" stroked="false">
          <v:textbox inset="0,0,0,0">
            <w:txbxContent>
              <w:p>
                <w:pPr>
                  <w:pStyle w:val="BodyText"/>
                  <w:spacing w:line="223" w:lineRule="exact" w:before="0"/>
                  <w:ind w:left="4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836" w:hanging="36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680" w:hanging="36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524" w:hanging="36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368" w:hanging="36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212" w:hanging="360"/>
      </w:pPr>
      <w:rPr>
        <w:rFonts w:hint="default"/>
        <w:lang w:val="zh-TW" w:eastAsia="zh-TW" w:bidi="zh-TW"/>
      </w:rPr>
    </w:lvl>
  </w:abstractNum>
  <w:abstractNum w:abstractNumId="3">
    <w:multiLevelType w:val="hybridMultilevel"/>
    <w:lvl w:ilvl="0">
      <w:start w:val="0"/>
      <w:numFmt w:val="bullet"/>
      <w:lvlText w:val=""/>
      <w:lvlJc w:val="left"/>
      <w:pPr>
        <w:ind w:left="580" w:hanging="480"/>
      </w:pPr>
      <w:rPr>
        <w:rFonts w:hint="default" w:ascii="Wingdings" w:hAnsi="Wingdings" w:eastAsia="Wingdings" w:cs="Wingdings"/>
        <w:w w:val="99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412" w:hanging="48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244" w:hanging="48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076" w:hanging="48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908" w:hanging="48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740" w:hanging="48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572" w:hanging="48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404" w:hanging="48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236" w:hanging="480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836" w:hanging="36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680" w:hanging="36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524" w:hanging="36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368" w:hanging="36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212" w:hanging="360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zh-TW" w:eastAsia="zh-TW" w:bidi="zh-TW"/>
      </w:rPr>
    </w:lvl>
    <w:lvl w:ilvl="1">
      <w:start w:val="0"/>
      <w:numFmt w:val="bullet"/>
      <w:lvlText w:val=""/>
      <w:lvlJc w:val="left"/>
      <w:pPr>
        <w:ind w:left="527" w:hanging="286"/>
      </w:pPr>
      <w:rPr>
        <w:rFonts w:hint="default" w:ascii="Wingdings" w:hAnsi="Wingdings" w:eastAsia="Wingdings" w:cs="Wingdings"/>
        <w:w w:val="99"/>
        <w:sz w:val="20"/>
        <w:szCs w:val="20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451" w:hanging="286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382" w:hanging="286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313" w:hanging="286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244" w:hanging="286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175" w:hanging="286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106" w:hanging="286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037" w:hanging="286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836" w:hanging="36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680" w:hanging="36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524" w:hanging="36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368" w:hanging="36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212" w:hanging="360"/>
      </w:pPr>
      <w:rPr>
        <w:rFonts w:hint="default"/>
        <w:lang w:val="zh-TW" w:eastAsia="zh-TW" w:bidi="zh-TW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78"/>
      <w:ind w:left="460"/>
    </w:pPr>
    <w:rPr>
      <w:rFonts w:ascii="Times New Roman" w:hAnsi="Times New Roman" w:eastAsia="Times New Roman" w:cs="Times New Roman"/>
      <w:sz w:val="20"/>
      <w:szCs w:val="20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49"/>
      <w:ind w:left="100"/>
      <w:outlineLvl w:val="1"/>
    </w:pPr>
    <w:rPr>
      <w:rFonts w:ascii="Microsoft JhengHei" w:hAnsi="Microsoft JhengHei" w:eastAsia="Microsoft JhengHei" w:cs="Microsoft JhengHei"/>
      <w:b/>
      <w:bCs/>
      <w:sz w:val="20"/>
      <w:szCs w:val="20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before="102"/>
      <w:ind w:left="460" w:hanging="361"/>
    </w:pPr>
    <w:rPr>
      <w:rFonts w:ascii="MingLiU" w:hAnsi="MingLiU" w:eastAsia="MingLiU" w:cs="MingLiU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admin.taiwan.net.tw/statistics/month_show.asp?selno=52&amp;amp;selyear=2007&amp;amp;selmont" TargetMode="External"/><Relationship Id="rId7" Type="http://schemas.openxmlformats.org/officeDocument/2006/relationships/hyperlink" Target="http://search.ebscohost.com/login.aspx?direct=true&amp;amp;db=buh&amp;amp;AN=24766031&amp;amp;lang=zh-tw&amp;amp;site=bsi-live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mrhsu</dc:creator>
  <dcterms:created xsi:type="dcterms:W3CDTF">2019-12-16T16:16:45Z</dcterms:created>
  <dcterms:modified xsi:type="dcterms:W3CDTF">2019-12-16T16:16:45Z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</Properties>
</file>