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0B" w:rsidRPr="00233717" w:rsidRDefault="00E7660B" w:rsidP="00233717">
      <w:pPr>
        <w:pStyle w:val="3"/>
        <w:spacing w:before="360"/>
        <w:ind w:left="721" w:hanging="721"/>
        <w:jc w:val="center"/>
        <w:rPr>
          <w:b/>
          <w:color w:val="000000"/>
          <w:sz w:val="36"/>
        </w:rPr>
      </w:pPr>
      <w:r w:rsidRPr="00233717">
        <w:rPr>
          <w:rFonts w:hAnsi="標楷體" w:hint="eastAsia"/>
          <w:b/>
          <w:sz w:val="36"/>
        </w:rPr>
        <w:t>銘傳大學觀光學院教師評</w:t>
      </w:r>
      <w:bookmarkStart w:id="0" w:name="_GoBack"/>
      <w:bookmarkEnd w:id="0"/>
      <w:r w:rsidRPr="00233717">
        <w:rPr>
          <w:rFonts w:hAnsi="標楷體" w:hint="eastAsia"/>
          <w:b/>
          <w:sz w:val="36"/>
        </w:rPr>
        <w:t>鑑準則</w:t>
      </w:r>
    </w:p>
    <w:p w:rsidR="00E7660B" w:rsidRPr="00FF0D29" w:rsidRDefault="00E7660B" w:rsidP="00E7660B">
      <w:pPr>
        <w:spacing w:line="240" w:lineRule="exact"/>
        <w:jc w:val="right"/>
        <w:rPr>
          <w:rFonts w:eastAsia="標楷體"/>
          <w:color w:val="000000"/>
          <w:sz w:val="20"/>
          <w:szCs w:val="36"/>
        </w:rPr>
      </w:pPr>
      <w:r w:rsidRPr="00FF0D29">
        <w:rPr>
          <w:rFonts w:eastAsia="標楷體" w:hint="eastAsia"/>
          <w:color w:val="000000"/>
          <w:sz w:val="20"/>
          <w:szCs w:val="36"/>
        </w:rPr>
        <w:t>民國</w:t>
      </w:r>
      <w:r w:rsidRPr="00FF0D29">
        <w:rPr>
          <w:rFonts w:eastAsia="標楷體"/>
          <w:color w:val="000000"/>
          <w:sz w:val="20"/>
          <w:szCs w:val="36"/>
        </w:rPr>
        <w:t>99</w:t>
      </w:r>
      <w:r w:rsidRPr="00FF0D29">
        <w:rPr>
          <w:rFonts w:eastAsia="標楷體" w:hint="eastAsia"/>
          <w:color w:val="000000"/>
          <w:sz w:val="20"/>
          <w:szCs w:val="36"/>
        </w:rPr>
        <w:t>年</w:t>
      </w:r>
      <w:r w:rsidRPr="00FF0D29">
        <w:rPr>
          <w:rFonts w:eastAsia="標楷體"/>
          <w:color w:val="000000"/>
          <w:sz w:val="20"/>
          <w:szCs w:val="36"/>
        </w:rPr>
        <w:t>01</w:t>
      </w:r>
      <w:r w:rsidRPr="00FF0D29">
        <w:rPr>
          <w:rFonts w:eastAsia="標楷體" w:hint="eastAsia"/>
          <w:color w:val="000000"/>
          <w:sz w:val="20"/>
          <w:szCs w:val="36"/>
        </w:rPr>
        <w:t>月</w:t>
      </w:r>
      <w:r w:rsidRPr="00FF0D29">
        <w:rPr>
          <w:rFonts w:eastAsia="標楷體"/>
          <w:color w:val="000000"/>
          <w:sz w:val="20"/>
          <w:szCs w:val="36"/>
        </w:rPr>
        <w:t>05</w:t>
      </w:r>
      <w:r w:rsidRPr="00FF0D29">
        <w:rPr>
          <w:rFonts w:eastAsia="標楷體" w:hint="eastAsia"/>
          <w:color w:val="000000"/>
          <w:sz w:val="20"/>
          <w:szCs w:val="36"/>
        </w:rPr>
        <w:t>日院</w:t>
      </w:r>
      <w:proofErr w:type="gramStart"/>
      <w:r w:rsidRPr="00FF0D29">
        <w:rPr>
          <w:rFonts w:eastAsia="標楷體" w:hint="eastAsia"/>
          <w:color w:val="000000"/>
          <w:sz w:val="20"/>
          <w:szCs w:val="36"/>
        </w:rPr>
        <w:t>務</w:t>
      </w:r>
      <w:proofErr w:type="gramEnd"/>
      <w:r w:rsidRPr="00FF0D29">
        <w:rPr>
          <w:rFonts w:eastAsia="標楷體" w:hint="eastAsia"/>
          <w:color w:val="000000"/>
          <w:sz w:val="20"/>
          <w:szCs w:val="36"/>
        </w:rPr>
        <w:t>會議</w:t>
      </w:r>
    </w:p>
    <w:p w:rsidR="00E7660B" w:rsidRPr="00233717" w:rsidRDefault="00E7660B" w:rsidP="00E7660B">
      <w:pPr>
        <w:spacing w:line="240" w:lineRule="exact"/>
        <w:jc w:val="right"/>
        <w:rPr>
          <w:rFonts w:eastAsia="標楷體"/>
          <w:color w:val="000000"/>
          <w:sz w:val="20"/>
          <w:szCs w:val="36"/>
        </w:rPr>
      </w:pPr>
      <w:r w:rsidRPr="00233717">
        <w:rPr>
          <w:rFonts w:eastAsia="標楷體" w:hint="eastAsia"/>
          <w:color w:val="000000"/>
          <w:sz w:val="20"/>
          <w:szCs w:val="36"/>
        </w:rPr>
        <w:t>民國</w:t>
      </w:r>
      <w:r w:rsidRPr="00233717">
        <w:rPr>
          <w:rFonts w:eastAsia="標楷體"/>
          <w:color w:val="000000"/>
          <w:sz w:val="20"/>
          <w:szCs w:val="36"/>
        </w:rPr>
        <w:t>100</w:t>
      </w:r>
      <w:r w:rsidRPr="00233717">
        <w:rPr>
          <w:rFonts w:eastAsia="標楷體" w:hint="eastAsia"/>
          <w:color w:val="000000"/>
          <w:sz w:val="20"/>
          <w:szCs w:val="36"/>
        </w:rPr>
        <w:t>年</w:t>
      </w:r>
      <w:r w:rsidRPr="00233717">
        <w:rPr>
          <w:rFonts w:eastAsia="標楷體"/>
          <w:color w:val="000000"/>
          <w:sz w:val="20"/>
          <w:szCs w:val="36"/>
        </w:rPr>
        <w:t>12</w:t>
      </w:r>
      <w:r w:rsidRPr="00233717">
        <w:rPr>
          <w:rFonts w:eastAsia="標楷體" w:hint="eastAsia"/>
          <w:color w:val="000000"/>
          <w:sz w:val="20"/>
          <w:szCs w:val="36"/>
        </w:rPr>
        <w:t>月</w:t>
      </w:r>
      <w:r w:rsidRPr="00233717">
        <w:rPr>
          <w:rFonts w:eastAsia="標楷體"/>
          <w:color w:val="000000"/>
          <w:sz w:val="20"/>
          <w:szCs w:val="36"/>
        </w:rPr>
        <w:t>27</w:t>
      </w:r>
      <w:r w:rsidRPr="00233717">
        <w:rPr>
          <w:rFonts w:eastAsia="標楷體" w:hint="eastAsia"/>
          <w:color w:val="000000"/>
          <w:sz w:val="20"/>
          <w:szCs w:val="36"/>
        </w:rPr>
        <w:t>日院</w:t>
      </w:r>
      <w:proofErr w:type="gramStart"/>
      <w:r w:rsidRPr="00233717">
        <w:rPr>
          <w:rFonts w:eastAsia="標楷體" w:hint="eastAsia"/>
          <w:color w:val="000000"/>
          <w:sz w:val="20"/>
          <w:szCs w:val="36"/>
        </w:rPr>
        <w:t>務</w:t>
      </w:r>
      <w:proofErr w:type="gramEnd"/>
      <w:r w:rsidRPr="00233717">
        <w:rPr>
          <w:rFonts w:eastAsia="標楷體" w:hint="eastAsia"/>
          <w:color w:val="000000"/>
          <w:sz w:val="20"/>
          <w:szCs w:val="36"/>
        </w:rPr>
        <w:t>會議修正</w:t>
      </w:r>
    </w:p>
    <w:p w:rsidR="00E7660B" w:rsidRPr="00233717" w:rsidRDefault="00E7660B" w:rsidP="00E7660B">
      <w:pPr>
        <w:spacing w:line="240" w:lineRule="exact"/>
        <w:jc w:val="right"/>
        <w:rPr>
          <w:rFonts w:eastAsia="標楷體"/>
          <w:color w:val="000000"/>
          <w:sz w:val="20"/>
          <w:szCs w:val="36"/>
        </w:rPr>
      </w:pPr>
      <w:r w:rsidRPr="00233717">
        <w:rPr>
          <w:rFonts w:eastAsia="標楷體" w:hint="eastAsia"/>
          <w:color w:val="000000"/>
          <w:sz w:val="20"/>
          <w:szCs w:val="36"/>
        </w:rPr>
        <w:t>民國</w:t>
      </w:r>
      <w:r w:rsidRPr="00233717">
        <w:rPr>
          <w:rFonts w:eastAsia="標楷體"/>
          <w:color w:val="000000"/>
          <w:sz w:val="20"/>
          <w:szCs w:val="36"/>
        </w:rPr>
        <w:t>101</w:t>
      </w:r>
      <w:r w:rsidRPr="00233717">
        <w:rPr>
          <w:rFonts w:eastAsia="標楷體" w:hint="eastAsia"/>
          <w:color w:val="000000"/>
          <w:sz w:val="20"/>
          <w:szCs w:val="36"/>
        </w:rPr>
        <w:t>年</w:t>
      </w:r>
      <w:r w:rsidRPr="00233717">
        <w:rPr>
          <w:rFonts w:eastAsia="標楷體"/>
          <w:color w:val="000000"/>
          <w:sz w:val="20"/>
          <w:szCs w:val="36"/>
        </w:rPr>
        <w:t>9</w:t>
      </w:r>
      <w:r w:rsidRPr="00233717">
        <w:rPr>
          <w:rFonts w:eastAsia="標楷體" w:hint="eastAsia"/>
          <w:color w:val="000000"/>
          <w:sz w:val="20"/>
          <w:szCs w:val="36"/>
        </w:rPr>
        <w:t>月</w:t>
      </w:r>
      <w:r w:rsidRPr="00233717">
        <w:rPr>
          <w:rFonts w:eastAsia="標楷體"/>
          <w:color w:val="000000"/>
          <w:sz w:val="20"/>
          <w:szCs w:val="36"/>
        </w:rPr>
        <w:t>25</w:t>
      </w:r>
      <w:r w:rsidRPr="00233717">
        <w:rPr>
          <w:rFonts w:eastAsia="標楷體" w:hint="eastAsia"/>
          <w:color w:val="000000"/>
          <w:sz w:val="20"/>
          <w:szCs w:val="36"/>
        </w:rPr>
        <w:t>日院</w:t>
      </w:r>
      <w:proofErr w:type="gramStart"/>
      <w:r w:rsidRPr="00233717">
        <w:rPr>
          <w:rFonts w:eastAsia="標楷體" w:hint="eastAsia"/>
          <w:color w:val="000000"/>
          <w:sz w:val="20"/>
          <w:szCs w:val="36"/>
        </w:rPr>
        <w:t>務</w:t>
      </w:r>
      <w:proofErr w:type="gramEnd"/>
      <w:r w:rsidRPr="00233717">
        <w:rPr>
          <w:rFonts w:eastAsia="標楷體" w:hint="eastAsia"/>
          <w:color w:val="000000"/>
          <w:sz w:val="20"/>
          <w:szCs w:val="36"/>
        </w:rPr>
        <w:t>會議修正</w:t>
      </w:r>
    </w:p>
    <w:p w:rsidR="00E7660B" w:rsidRPr="00233717" w:rsidRDefault="00E7660B" w:rsidP="00E7660B">
      <w:pPr>
        <w:spacing w:line="240" w:lineRule="exact"/>
        <w:jc w:val="right"/>
        <w:rPr>
          <w:rFonts w:eastAsia="標楷體"/>
          <w:b/>
          <w:color w:val="000000"/>
          <w:sz w:val="20"/>
          <w:szCs w:val="36"/>
        </w:rPr>
      </w:pPr>
    </w:p>
    <w:p w:rsidR="00E7660B" w:rsidRDefault="00E7660B" w:rsidP="00E7660B">
      <w:pPr>
        <w:pStyle w:val="a3"/>
        <w:spacing w:beforeLines="0"/>
        <w:ind w:left="566" w:hangingChars="236" w:hanging="56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一、為激勵教師專業成長，及增進教學、研究、輔導與服務效能，依據銘傳大學教師評鑑辦法訂定銘傳大學</w:t>
      </w:r>
      <w:r>
        <w:rPr>
          <w:rFonts w:hint="eastAsia"/>
          <w:sz w:val="24"/>
          <w:szCs w:val="24"/>
        </w:rPr>
        <w:t>觀光學院</w:t>
      </w:r>
      <w:r>
        <w:rPr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以下簡稱本院</w:t>
      </w:r>
      <w:r>
        <w:rPr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教師評鑑準則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以下簡稱本準則</w:t>
      </w:r>
      <w:r>
        <w:rPr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。</w:t>
      </w:r>
    </w:p>
    <w:p w:rsidR="00E7660B" w:rsidRDefault="00E7660B" w:rsidP="00E7660B">
      <w:pPr>
        <w:spacing w:line="0" w:lineRule="atLeast"/>
        <w:ind w:left="566" w:hangingChars="236" w:hanging="566"/>
        <w:jc w:val="both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二、本</w:t>
      </w:r>
      <w:r>
        <w:rPr>
          <w:rFonts w:eastAsia="標楷體" w:hint="eastAsia"/>
          <w:color w:val="000000"/>
          <w:szCs w:val="24"/>
        </w:rPr>
        <w:t>準則</w:t>
      </w:r>
      <w:r>
        <w:rPr>
          <w:rFonts w:eastAsia="標楷體" w:hAnsi="標楷體" w:hint="eastAsia"/>
          <w:color w:val="000000"/>
          <w:szCs w:val="24"/>
        </w:rPr>
        <w:t>所稱教師評鑑區分為年度評鑑與綜合評鑑兩類，年度評鑑以受評教師前一學年之教學、輔導與服務表現，為其評鑑成績；綜合評鑑以受評教師前三學年或五學年之教學、研究、輔導與服務表現，為其評鑑成績。</w:t>
      </w:r>
    </w:p>
    <w:p w:rsidR="00E7660B" w:rsidRDefault="00E7660B" w:rsidP="00E7660B">
      <w:pPr>
        <w:spacing w:line="0" w:lineRule="atLeast"/>
        <w:ind w:left="564" w:hangingChars="235" w:hanging="564"/>
        <w:jc w:val="both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三、本院各級專任教師服務滿一年（含）以上者，</w:t>
      </w:r>
      <w:proofErr w:type="gramStart"/>
      <w:r>
        <w:rPr>
          <w:rFonts w:eastAsia="標楷體" w:hAnsi="標楷體" w:hint="eastAsia"/>
          <w:color w:val="000000"/>
          <w:szCs w:val="24"/>
        </w:rPr>
        <w:t>均應接受</w:t>
      </w:r>
      <w:proofErr w:type="gramEnd"/>
      <w:r>
        <w:rPr>
          <w:rFonts w:eastAsia="標楷體" w:hAnsi="標楷體" w:hint="eastAsia"/>
          <w:color w:val="000000"/>
          <w:szCs w:val="24"/>
        </w:rPr>
        <w:t>評鑑。專任教師未滿一年者經各學系同意後，得自願提前接受評鑑。</w:t>
      </w:r>
    </w:p>
    <w:p w:rsidR="00E7660B" w:rsidRDefault="00E7660B" w:rsidP="00E7660B">
      <w:pPr>
        <w:spacing w:line="0" w:lineRule="atLeast"/>
        <w:ind w:leftChars="235" w:left="564"/>
        <w:jc w:val="both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講師及助理教授每隔三年，副教授及教授每隔五年，實施綜合評鑑乙次。</w:t>
      </w:r>
    </w:p>
    <w:p w:rsidR="00E7660B" w:rsidRDefault="00E7660B" w:rsidP="00E7660B">
      <w:pPr>
        <w:spacing w:line="0" w:lineRule="atLeast"/>
        <w:ind w:leftChars="235" w:left="564"/>
        <w:jc w:val="both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年度評鑑與綜合評鑑同年舉行時，以綜合評鑑結果作為當學年度之年度評鑑。教師因升等改變教師職級時，得採用新的綜合評鑑周期。</w:t>
      </w:r>
    </w:p>
    <w:p w:rsidR="00E7660B" w:rsidRDefault="00E7660B" w:rsidP="00E7660B">
      <w:pPr>
        <w:spacing w:line="0" w:lineRule="atLeast"/>
        <w:ind w:left="480" w:hangingChars="200" w:hanging="480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四、教師符合下列條件之</w:t>
      </w:r>
      <w:proofErr w:type="gramStart"/>
      <w:r>
        <w:rPr>
          <w:rFonts w:eastAsia="標楷體" w:hAnsi="標楷體" w:hint="eastAsia"/>
          <w:color w:val="000000"/>
          <w:szCs w:val="24"/>
        </w:rPr>
        <w:t>一</w:t>
      </w:r>
      <w:proofErr w:type="gramEnd"/>
      <w:r>
        <w:rPr>
          <w:rFonts w:eastAsia="標楷體" w:hAnsi="標楷體" w:hint="eastAsia"/>
          <w:color w:val="000000"/>
          <w:szCs w:val="24"/>
        </w:rPr>
        <w:t>者，得免予評鑑：</w:t>
      </w:r>
    </w:p>
    <w:p w:rsidR="00E7660B" w:rsidRDefault="00E7660B" w:rsidP="00E7660B">
      <w:pPr>
        <w:pStyle w:val="a3"/>
        <w:spacing w:beforeLines="0"/>
        <w:ind w:leftChars="236" w:left="1681" w:firstLineChars="0" w:hanging="1115"/>
        <w:rPr>
          <w:color w:val="000000"/>
          <w:sz w:val="24"/>
          <w:szCs w:val="24"/>
        </w:rPr>
      </w:pPr>
      <w:r>
        <w:rPr>
          <w:rFonts w:hAnsi="標楷體"/>
          <w:color w:val="000000"/>
          <w:sz w:val="24"/>
          <w:szCs w:val="24"/>
        </w:rPr>
        <w:t>(</w:t>
      </w:r>
      <w:proofErr w:type="gramStart"/>
      <w:r>
        <w:rPr>
          <w:rFonts w:hAnsi="標楷體" w:hint="eastAsia"/>
          <w:color w:val="000000"/>
          <w:sz w:val="24"/>
          <w:szCs w:val="24"/>
        </w:rPr>
        <w:t>一</w:t>
      </w:r>
      <w:proofErr w:type="gramEnd"/>
      <w:r>
        <w:rPr>
          <w:rFonts w:hAnsi="標楷體"/>
          <w:color w:val="000000"/>
          <w:sz w:val="24"/>
          <w:szCs w:val="24"/>
        </w:rPr>
        <w:t>)</w:t>
      </w:r>
      <w:r>
        <w:rPr>
          <w:rFonts w:hAnsi="標楷體" w:hint="eastAsia"/>
          <w:color w:val="000000"/>
          <w:sz w:val="24"/>
          <w:szCs w:val="24"/>
        </w:rPr>
        <w:t>、獲選為中央研究院院士者。</w:t>
      </w:r>
      <w:r>
        <w:rPr>
          <w:color w:val="000000"/>
          <w:sz w:val="24"/>
          <w:szCs w:val="24"/>
        </w:rPr>
        <w:t xml:space="preserve"> </w:t>
      </w:r>
    </w:p>
    <w:p w:rsidR="00E7660B" w:rsidRDefault="00E7660B" w:rsidP="00E7660B">
      <w:pPr>
        <w:pStyle w:val="a3"/>
        <w:spacing w:beforeLines="0"/>
        <w:ind w:leftChars="236" w:left="2314" w:firstLineChars="0" w:hanging="1748"/>
        <w:rPr>
          <w:color w:val="000000"/>
          <w:sz w:val="24"/>
          <w:szCs w:val="24"/>
        </w:rPr>
      </w:pPr>
      <w:r>
        <w:rPr>
          <w:rFonts w:hAnsi="標楷體"/>
          <w:color w:val="000000"/>
          <w:sz w:val="24"/>
          <w:szCs w:val="24"/>
        </w:rPr>
        <w:t>(</w:t>
      </w:r>
      <w:r>
        <w:rPr>
          <w:rFonts w:hAnsi="標楷體" w:hint="eastAsia"/>
          <w:color w:val="000000"/>
          <w:sz w:val="24"/>
          <w:szCs w:val="24"/>
        </w:rPr>
        <w:t>二</w:t>
      </w:r>
      <w:r>
        <w:rPr>
          <w:rFonts w:hAnsi="標楷體"/>
          <w:color w:val="000000"/>
          <w:sz w:val="24"/>
          <w:szCs w:val="24"/>
        </w:rPr>
        <w:t>)</w:t>
      </w:r>
      <w:r>
        <w:rPr>
          <w:rFonts w:hAnsi="標楷體" w:hint="eastAsia"/>
          <w:color w:val="000000"/>
          <w:sz w:val="24"/>
          <w:szCs w:val="24"/>
        </w:rPr>
        <w:t>、曾獲頒教育部學術獎或國家講座者。</w:t>
      </w:r>
      <w:r>
        <w:rPr>
          <w:color w:val="000000"/>
          <w:sz w:val="24"/>
          <w:szCs w:val="24"/>
        </w:rPr>
        <w:t xml:space="preserve"> </w:t>
      </w:r>
    </w:p>
    <w:p w:rsidR="00E7660B" w:rsidRDefault="00E7660B" w:rsidP="00E7660B">
      <w:pPr>
        <w:pStyle w:val="a3"/>
        <w:spacing w:beforeLines="0"/>
        <w:ind w:leftChars="236" w:left="2947" w:firstLineChars="0" w:hanging="2381"/>
        <w:rPr>
          <w:color w:val="000000"/>
          <w:sz w:val="24"/>
          <w:szCs w:val="24"/>
        </w:rPr>
      </w:pPr>
      <w:r>
        <w:rPr>
          <w:rFonts w:hAnsi="標楷體"/>
          <w:color w:val="000000"/>
          <w:sz w:val="24"/>
          <w:szCs w:val="24"/>
        </w:rPr>
        <w:t>(</w:t>
      </w:r>
      <w:r>
        <w:rPr>
          <w:rFonts w:hAnsi="標楷體" w:hint="eastAsia"/>
          <w:color w:val="000000"/>
          <w:sz w:val="24"/>
          <w:szCs w:val="24"/>
        </w:rPr>
        <w:t>三</w:t>
      </w:r>
      <w:r>
        <w:rPr>
          <w:rFonts w:hAnsi="標楷體"/>
          <w:color w:val="000000"/>
          <w:sz w:val="24"/>
          <w:szCs w:val="24"/>
        </w:rPr>
        <w:t>)</w:t>
      </w:r>
      <w:r>
        <w:rPr>
          <w:rFonts w:hAnsi="標楷體" w:hint="eastAsia"/>
          <w:color w:val="000000"/>
          <w:sz w:val="24"/>
          <w:szCs w:val="24"/>
        </w:rPr>
        <w:t>、曾擔任國內外著名大學講座教授經本校認可者。</w:t>
      </w:r>
    </w:p>
    <w:p w:rsidR="00E7660B" w:rsidRDefault="00E7660B" w:rsidP="00E7660B">
      <w:pPr>
        <w:pStyle w:val="a3"/>
        <w:spacing w:beforeLines="0"/>
        <w:ind w:leftChars="236" w:left="2947" w:firstLineChars="0" w:hanging="2381"/>
        <w:rPr>
          <w:color w:val="000000"/>
          <w:sz w:val="24"/>
          <w:szCs w:val="24"/>
        </w:rPr>
      </w:pPr>
      <w:r>
        <w:rPr>
          <w:rFonts w:hAnsi="標楷體"/>
          <w:color w:val="000000"/>
          <w:sz w:val="24"/>
          <w:szCs w:val="24"/>
        </w:rPr>
        <w:t>(</w:t>
      </w:r>
      <w:r>
        <w:rPr>
          <w:rFonts w:hAnsi="標楷體" w:hint="eastAsia"/>
          <w:color w:val="000000"/>
          <w:sz w:val="24"/>
          <w:szCs w:val="24"/>
        </w:rPr>
        <w:t>四</w:t>
      </w:r>
      <w:r>
        <w:rPr>
          <w:rFonts w:hAnsi="標楷體"/>
          <w:color w:val="000000"/>
          <w:sz w:val="24"/>
          <w:szCs w:val="24"/>
        </w:rPr>
        <w:t>)</w:t>
      </w:r>
      <w:r>
        <w:rPr>
          <w:rFonts w:hAnsi="標楷體" w:hint="eastAsia"/>
          <w:color w:val="000000"/>
          <w:sz w:val="24"/>
          <w:szCs w:val="24"/>
        </w:rPr>
        <w:t>、曾獲頒國科會傑出研究獎。</w:t>
      </w:r>
    </w:p>
    <w:p w:rsidR="00E7660B" w:rsidRDefault="00E7660B" w:rsidP="00E7660B">
      <w:pPr>
        <w:pStyle w:val="a3"/>
        <w:spacing w:beforeLines="0"/>
        <w:ind w:leftChars="236" w:left="2947" w:firstLineChars="0" w:hanging="2381"/>
        <w:rPr>
          <w:color w:val="000000"/>
          <w:sz w:val="24"/>
          <w:szCs w:val="24"/>
        </w:rPr>
      </w:pPr>
      <w:r>
        <w:rPr>
          <w:rFonts w:hAnsi="標楷體"/>
          <w:color w:val="000000"/>
          <w:sz w:val="24"/>
          <w:szCs w:val="24"/>
        </w:rPr>
        <w:t>(</w:t>
      </w:r>
      <w:r>
        <w:rPr>
          <w:rFonts w:hAnsi="標楷體" w:hint="eastAsia"/>
          <w:color w:val="000000"/>
          <w:sz w:val="24"/>
          <w:szCs w:val="24"/>
        </w:rPr>
        <w:t>五</w:t>
      </w:r>
      <w:r>
        <w:rPr>
          <w:rFonts w:hAnsi="標楷體"/>
          <w:color w:val="000000"/>
          <w:sz w:val="24"/>
          <w:szCs w:val="24"/>
        </w:rPr>
        <w:t>)</w:t>
      </w:r>
      <w:r>
        <w:rPr>
          <w:rFonts w:hAnsi="標楷體" w:hint="eastAsia"/>
          <w:color w:val="000000"/>
          <w:sz w:val="24"/>
          <w:szCs w:val="24"/>
        </w:rPr>
        <w:t>、每年接受系</w:t>
      </w:r>
      <w:r>
        <w:rPr>
          <w:color w:val="000000"/>
          <w:sz w:val="24"/>
          <w:szCs w:val="24"/>
        </w:rPr>
        <w:t>(</w:t>
      </w:r>
      <w:r>
        <w:rPr>
          <w:rFonts w:hAnsi="標楷體" w:hint="eastAsia"/>
          <w:color w:val="000000"/>
          <w:sz w:val="24"/>
          <w:szCs w:val="24"/>
        </w:rPr>
        <w:t>所</w:t>
      </w:r>
      <w:r>
        <w:rPr>
          <w:color w:val="000000"/>
          <w:sz w:val="24"/>
          <w:szCs w:val="24"/>
        </w:rPr>
        <w:t>)</w:t>
      </w:r>
      <w:r>
        <w:rPr>
          <w:rFonts w:hAnsi="標楷體" w:hint="eastAsia"/>
          <w:color w:val="000000"/>
          <w:sz w:val="24"/>
          <w:szCs w:val="24"/>
        </w:rPr>
        <w:t>、院、校教師評審委員會審查通過而延長服務之教授。</w:t>
      </w:r>
      <w:r>
        <w:rPr>
          <w:color w:val="000000"/>
          <w:sz w:val="24"/>
          <w:szCs w:val="24"/>
        </w:rPr>
        <w:t xml:space="preserve"> </w:t>
      </w:r>
    </w:p>
    <w:p w:rsidR="00E7660B" w:rsidRDefault="00E7660B" w:rsidP="00E7660B">
      <w:pPr>
        <w:pStyle w:val="a3"/>
        <w:spacing w:beforeLines="0"/>
        <w:ind w:leftChars="237" w:left="1133" w:hangingChars="235" w:hanging="564"/>
        <w:rPr>
          <w:color w:val="000000"/>
          <w:sz w:val="24"/>
          <w:szCs w:val="24"/>
        </w:rPr>
      </w:pPr>
      <w:r>
        <w:rPr>
          <w:rFonts w:hAnsi="標楷體"/>
          <w:color w:val="000000"/>
          <w:sz w:val="24"/>
          <w:szCs w:val="24"/>
        </w:rPr>
        <w:t>(</w:t>
      </w:r>
      <w:r>
        <w:rPr>
          <w:rFonts w:hAnsi="標楷體" w:hint="eastAsia"/>
          <w:color w:val="000000"/>
          <w:sz w:val="24"/>
          <w:szCs w:val="24"/>
        </w:rPr>
        <w:t>六</w:t>
      </w:r>
      <w:r>
        <w:rPr>
          <w:rFonts w:hAnsi="標楷體"/>
          <w:color w:val="000000"/>
          <w:sz w:val="24"/>
          <w:szCs w:val="24"/>
        </w:rPr>
        <w:t>)</w:t>
      </w:r>
      <w:r>
        <w:rPr>
          <w:rFonts w:hAnsi="標楷體" w:hint="eastAsia"/>
          <w:color w:val="000000"/>
          <w:sz w:val="24"/>
          <w:szCs w:val="24"/>
        </w:rPr>
        <w:t>、曾獲校內、外其他教學、研究、服務、輔導獎項或成果具體卓著，經系（所）、院教師評鑑委員會審議通過，報請校方同意後，准免予評鑑者。</w:t>
      </w:r>
    </w:p>
    <w:p w:rsidR="00E7660B" w:rsidRDefault="00E7660B" w:rsidP="00E7660B">
      <w:pPr>
        <w:pStyle w:val="a3"/>
        <w:spacing w:beforeLines="0"/>
        <w:ind w:leftChars="472" w:left="1133" w:firstLineChars="0" w:firstLine="1"/>
        <w:rPr>
          <w:color w:val="000000"/>
          <w:sz w:val="24"/>
          <w:szCs w:val="24"/>
        </w:rPr>
      </w:pPr>
      <w:r>
        <w:rPr>
          <w:rFonts w:hAnsi="標楷體" w:hint="eastAsia"/>
          <w:color w:val="000000"/>
          <w:sz w:val="24"/>
          <w:szCs w:val="24"/>
        </w:rPr>
        <w:t>符合第一項至第五項者，其在校服務</w:t>
      </w:r>
      <w:proofErr w:type="gramStart"/>
      <w:r>
        <w:rPr>
          <w:rFonts w:hAnsi="標楷體" w:hint="eastAsia"/>
          <w:color w:val="000000"/>
          <w:sz w:val="24"/>
          <w:szCs w:val="24"/>
        </w:rPr>
        <w:t>期間免</w:t>
      </w:r>
      <w:proofErr w:type="gramEnd"/>
      <w:r>
        <w:rPr>
          <w:rFonts w:hAnsi="標楷體" w:hint="eastAsia"/>
          <w:color w:val="000000"/>
          <w:sz w:val="24"/>
          <w:szCs w:val="24"/>
        </w:rPr>
        <w:t>予評鑑；符合第六項者，當次綜合評鑑周期內之各</w:t>
      </w:r>
      <w:proofErr w:type="gramStart"/>
      <w:r>
        <w:rPr>
          <w:rFonts w:hAnsi="標楷體" w:hint="eastAsia"/>
          <w:color w:val="000000"/>
          <w:sz w:val="24"/>
          <w:szCs w:val="24"/>
        </w:rPr>
        <w:t>學年度免予</w:t>
      </w:r>
      <w:proofErr w:type="gramEnd"/>
      <w:r>
        <w:rPr>
          <w:rFonts w:hAnsi="標楷體" w:hint="eastAsia"/>
          <w:color w:val="000000"/>
          <w:sz w:val="24"/>
          <w:szCs w:val="24"/>
        </w:rPr>
        <w:t>評鑑。</w:t>
      </w:r>
    </w:p>
    <w:p w:rsidR="00E7660B" w:rsidRDefault="00E7660B" w:rsidP="00E7660B">
      <w:pPr>
        <w:pStyle w:val="a3"/>
        <w:spacing w:beforeLines="0"/>
        <w:ind w:left="566" w:hangingChars="236" w:hanging="566"/>
        <w:rPr>
          <w:sz w:val="24"/>
          <w:szCs w:val="24"/>
        </w:rPr>
      </w:pPr>
      <w:r>
        <w:rPr>
          <w:rFonts w:hAnsi="標楷體" w:hint="eastAsia"/>
          <w:color w:val="000000"/>
          <w:sz w:val="24"/>
          <w:szCs w:val="24"/>
        </w:rPr>
        <w:t>五、教師因懷孕、產假、育嬰、借調、休假研究、留職留薪進修或遭受重大變故者，得檢具相關證明，</w:t>
      </w:r>
      <w:r w:rsidRPr="00FF0D29">
        <w:rPr>
          <w:rFonts w:hAnsi="標楷體" w:hint="eastAsia"/>
          <w:sz w:val="24"/>
          <w:szCs w:val="24"/>
        </w:rPr>
        <w:t>經院報請校方核准後</w:t>
      </w:r>
      <w:r>
        <w:rPr>
          <w:rFonts w:hAnsi="標楷體" w:hint="eastAsia"/>
          <w:sz w:val="24"/>
          <w:szCs w:val="24"/>
        </w:rPr>
        <w:t>，延後辦理評鑑。</w:t>
      </w:r>
    </w:p>
    <w:p w:rsidR="00E7660B" w:rsidRDefault="00E7660B" w:rsidP="00E7660B">
      <w:pPr>
        <w:pStyle w:val="a3"/>
        <w:spacing w:beforeLines="0"/>
        <w:ind w:left="566" w:hangingChars="236" w:hanging="566"/>
        <w:rPr>
          <w:szCs w:val="24"/>
        </w:rPr>
      </w:pPr>
      <w:r>
        <w:rPr>
          <w:rFonts w:hAnsi="標楷體" w:hint="eastAsia"/>
          <w:sz w:val="24"/>
          <w:szCs w:val="24"/>
        </w:rPr>
        <w:t>六、本院各級專任教師每學年實施年度評鑑乙次，其中教學</w:t>
      </w:r>
      <w:proofErr w:type="gramStart"/>
      <w:r>
        <w:rPr>
          <w:rFonts w:hAnsi="標楷體" w:hint="eastAsia"/>
          <w:sz w:val="24"/>
          <w:szCs w:val="24"/>
        </w:rPr>
        <w:t>權重占百分之七十</w:t>
      </w:r>
      <w:proofErr w:type="gramEnd"/>
      <w:r>
        <w:rPr>
          <w:rFonts w:hAnsi="標楷體" w:hint="eastAsia"/>
          <w:sz w:val="24"/>
          <w:szCs w:val="24"/>
        </w:rPr>
        <w:t>，輔導與服務</w:t>
      </w:r>
      <w:proofErr w:type="gramStart"/>
      <w:r>
        <w:rPr>
          <w:rFonts w:hAnsi="標楷體" w:hint="eastAsia"/>
          <w:sz w:val="24"/>
          <w:szCs w:val="24"/>
        </w:rPr>
        <w:t>權重占百分之三十</w:t>
      </w:r>
      <w:proofErr w:type="gramEnd"/>
      <w:r>
        <w:rPr>
          <w:rFonts w:hAnsi="標楷體" w:hint="eastAsia"/>
          <w:sz w:val="24"/>
          <w:szCs w:val="24"/>
        </w:rPr>
        <w:t>，二項評鑑項目之加權平均達七十分（含）以上者，視為通過；加權平均未達七十分者，視為未通過。</w:t>
      </w:r>
    </w:p>
    <w:p w:rsidR="00E7660B" w:rsidRDefault="00E7660B" w:rsidP="00E7660B">
      <w:pPr>
        <w:spacing w:line="0" w:lineRule="atLeast"/>
        <w:ind w:leftChars="1" w:left="566" w:hangingChars="235" w:hanging="56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七、本院專任教師依教師職級實施綜合評鑑，各評鑑項目之權重得以百分之五為級距自行進行調整，惟教學、研究、輔導與服務權重合計必須為</w:t>
      </w:r>
      <w:r>
        <w:rPr>
          <w:rFonts w:ascii="標楷體" w:eastAsia="標楷體" w:hAnsi="標楷體" w:hint="eastAsia"/>
          <w:b/>
          <w:szCs w:val="24"/>
        </w:rPr>
        <w:t>百分之百</w:t>
      </w:r>
      <w:r>
        <w:rPr>
          <w:rFonts w:ascii="標楷體" w:eastAsia="標楷體" w:hAnsi="標楷體" w:hint="eastAsia"/>
          <w:szCs w:val="24"/>
        </w:rPr>
        <w:t>。各評鑑項目及權重為：</w:t>
      </w:r>
    </w:p>
    <w:p w:rsidR="00E7660B" w:rsidRDefault="00E7660B" w:rsidP="00E7660B">
      <w:pPr>
        <w:spacing w:line="0" w:lineRule="atLeast"/>
        <w:ind w:leftChars="236" w:left="1272" w:hangingChars="294" w:hanging="706"/>
        <w:jc w:val="both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(</w:t>
      </w:r>
      <w:proofErr w:type="gramStart"/>
      <w:r>
        <w:rPr>
          <w:rFonts w:eastAsia="標楷體" w:hint="eastAsia"/>
          <w:color w:val="000000"/>
          <w:szCs w:val="24"/>
        </w:rPr>
        <w:t>一</w:t>
      </w:r>
      <w:proofErr w:type="gramEnd"/>
      <w:r>
        <w:rPr>
          <w:rFonts w:eastAsia="標楷體"/>
          <w:color w:val="000000"/>
          <w:szCs w:val="24"/>
        </w:rPr>
        <w:t>)</w:t>
      </w:r>
      <w:r>
        <w:rPr>
          <w:rFonts w:eastAsia="標楷體" w:hint="eastAsia"/>
          <w:color w:val="000000"/>
          <w:szCs w:val="24"/>
        </w:rPr>
        <w:t>、</w:t>
      </w:r>
      <w:proofErr w:type="gramStart"/>
      <w:r>
        <w:rPr>
          <w:rFonts w:eastAsia="標楷體" w:hint="eastAsia"/>
          <w:color w:val="000000"/>
          <w:szCs w:val="24"/>
        </w:rPr>
        <w:t>未兼行政</w:t>
      </w:r>
      <w:proofErr w:type="gramEnd"/>
      <w:r>
        <w:rPr>
          <w:rFonts w:eastAsia="標楷體" w:hint="eastAsia"/>
          <w:color w:val="000000"/>
          <w:szCs w:val="24"/>
        </w:rPr>
        <w:t>職務之專任教師，教學權重為百分之三十至四十；研究權重為百分之三十至四十；輔導與服務權重為百分之二十至三十</w:t>
      </w:r>
    </w:p>
    <w:p w:rsidR="00E7660B" w:rsidRDefault="00E7660B" w:rsidP="00E7660B">
      <w:pPr>
        <w:spacing w:line="0" w:lineRule="atLeast"/>
        <w:ind w:leftChars="236" w:left="1272" w:hangingChars="294" w:hanging="706"/>
        <w:jc w:val="both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(</w:t>
      </w:r>
      <w:r>
        <w:rPr>
          <w:rFonts w:eastAsia="標楷體" w:hint="eastAsia"/>
          <w:color w:val="000000"/>
          <w:szCs w:val="24"/>
        </w:rPr>
        <w:t>二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 w:hint="eastAsia"/>
          <w:color w:val="000000"/>
          <w:szCs w:val="24"/>
        </w:rPr>
        <w:t>、兼任行政職務之專任教師，教學權重為分之二十至四十；研究權重為百分之二十至四十；輔導與服務權重為百分之二十至四十</w:t>
      </w:r>
    </w:p>
    <w:p w:rsidR="00E7660B" w:rsidRDefault="00E7660B" w:rsidP="00E7660B">
      <w:pPr>
        <w:pStyle w:val="a6"/>
        <w:snapToGrid w:val="0"/>
        <w:spacing w:line="0" w:lineRule="atLeast"/>
        <w:ind w:leftChars="237" w:left="1275" w:hangingChars="294" w:hanging="706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(</w:t>
      </w:r>
      <w:r>
        <w:rPr>
          <w:rFonts w:ascii="Times New Roman" w:hint="eastAsia"/>
          <w:color w:val="000000"/>
          <w:sz w:val="24"/>
          <w:szCs w:val="24"/>
        </w:rPr>
        <w:t>三</w:t>
      </w:r>
      <w:r>
        <w:rPr>
          <w:rFonts w:ascii="Times New Roman"/>
          <w:color w:val="000000"/>
          <w:sz w:val="24"/>
          <w:szCs w:val="24"/>
        </w:rPr>
        <w:t>)</w:t>
      </w:r>
      <w:r>
        <w:rPr>
          <w:rFonts w:ascii="Times New Roman" w:hint="eastAsia"/>
          <w:color w:val="000000"/>
          <w:sz w:val="24"/>
          <w:szCs w:val="24"/>
        </w:rPr>
        <w:t>、下列教師得申請研究</w:t>
      </w:r>
      <w:proofErr w:type="gramStart"/>
      <w:r>
        <w:rPr>
          <w:rFonts w:ascii="Times New Roman" w:hint="eastAsia"/>
          <w:color w:val="000000"/>
          <w:sz w:val="24"/>
          <w:szCs w:val="24"/>
        </w:rPr>
        <w:t>項目免評</w:t>
      </w:r>
      <w:proofErr w:type="gramEnd"/>
      <w:r>
        <w:rPr>
          <w:rFonts w:ascii="Times New Roman" w:hint="eastAsia"/>
          <w:color w:val="000000"/>
          <w:sz w:val="24"/>
          <w:szCs w:val="24"/>
        </w:rPr>
        <w:t>：</w:t>
      </w:r>
    </w:p>
    <w:p w:rsidR="00E7660B" w:rsidRDefault="00E7660B" w:rsidP="00E7660B">
      <w:pPr>
        <w:pStyle w:val="a6"/>
        <w:snapToGrid w:val="0"/>
        <w:spacing w:line="0" w:lineRule="atLeast"/>
        <w:ind w:leftChars="531" w:left="1274" w:firstLineChars="0" w:firstLine="1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</w:t>
      </w:r>
      <w:r>
        <w:rPr>
          <w:rFonts w:ascii="Times New Roman" w:hint="eastAsia"/>
          <w:sz w:val="24"/>
          <w:szCs w:val="24"/>
        </w:rPr>
        <w:t>兼任行政單位主管職務之專任教師或為本校教師聘任及服務規則第</w:t>
      </w:r>
      <w:r>
        <w:rPr>
          <w:rFonts w:ascii="Times New Roman"/>
          <w:sz w:val="24"/>
          <w:szCs w:val="24"/>
        </w:rPr>
        <w:t>33</w:t>
      </w:r>
      <w:r>
        <w:rPr>
          <w:rFonts w:ascii="Times New Roman" w:hint="eastAsia"/>
          <w:sz w:val="24"/>
          <w:szCs w:val="24"/>
        </w:rPr>
        <w:t>條所規定之專任教師兼行政工作者，其受評期間之研究項目得申請予以免評，其教學權重為百分之四十至百分之六十；服務輔導權重為百分之四十至百分之六十。</w:t>
      </w:r>
    </w:p>
    <w:p w:rsidR="00E7660B" w:rsidRDefault="00E7660B" w:rsidP="00E7660B">
      <w:pPr>
        <w:pStyle w:val="a6"/>
        <w:snapToGrid w:val="0"/>
        <w:spacing w:line="0" w:lineRule="atLeast"/>
        <w:ind w:leftChars="531" w:left="1274" w:firstLineChars="0" w:firstLine="1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2.</w:t>
      </w:r>
      <w:r>
        <w:rPr>
          <w:rFonts w:ascii="Times New Roman" w:hint="eastAsia"/>
          <w:sz w:val="24"/>
          <w:szCs w:val="24"/>
        </w:rPr>
        <w:t>曾任行政單位主管職務之專任教師或為本校教師聘任及服務規則第</w:t>
      </w:r>
      <w:r>
        <w:rPr>
          <w:rFonts w:ascii="Times New Roman"/>
          <w:sz w:val="24"/>
          <w:szCs w:val="24"/>
        </w:rPr>
        <w:t>33</w:t>
      </w:r>
      <w:r>
        <w:rPr>
          <w:rFonts w:ascii="Times New Roman" w:hint="eastAsia"/>
          <w:sz w:val="24"/>
          <w:szCs w:val="24"/>
        </w:rPr>
        <w:t>條所規定之專任教師兼行政工作者，於兼任行政職務期間之研究項目得申請予以免評，其教學權重為百分之四十至百分之六十；服務輔導權重為百分之四十至百分之六十。</w:t>
      </w:r>
    </w:p>
    <w:p w:rsidR="00E7660B" w:rsidRDefault="00E7660B" w:rsidP="00E7660B">
      <w:pPr>
        <w:pStyle w:val="a6"/>
        <w:snapToGrid w:val="0"/>
        <w:spacing w:line="0" w:lineRule="atLeast"/>
        <w:ind w:leftChars="531" w:left="1274" w:firstLineChars="0" w:firstLine="1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前項之</w:t>
      </w:r>
      <w:proofErr w:type="gramStart"/>
      <w:r>
        <w:rPr>
          <w:rFonts w:ascii="Times New Roman" w:hint="eastAsia"/>
          <w:sz w:val="24"/>
          <w:szCs w:val="24"/>
        </w:rPr>
        <w:t>申請均須經</w:t>
      </w:r>
      <w:proofErr w:type="gramEnd"/>
      <w:r>
        <w:rPr>
          <w:rFonts w:ascii="Times New Roman" w:hint="eastAsia"/>
          <w:sz w:val="24"/>
          <w:szCs w:val="24"/>
        </w:rPr>
        <w:t>院教師評鑑委員會審查通過。</w:t>
      </w:r>
    </w:p>
    <w:p w:rsidR="00E7660B" w:rsidRDefault="00E7660B" w:rsidP="00E7660B">
      <w:pPr>
        <w:spacing w:line="0" w:lineRule="atLeast"/>
        <w:ind w:left="437" w:hangingChars="182" w:hanging="437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八、</w:t>
      </w:r>
      <w:r w:rsidRPr="002C2D19">
        <w:rPr>
          <w:rFonts w:eastAsia="標楷體" w:hAnsi="標楷體" w:hint="eastAsia"/>
          <w:b/>
          <w:color w:val="000000"/>
          <w:szCs w:val="24"/>
          <w:u w:val="single"/>
        </w:rPr>
        <w:t>教師</w:t>
      </w:r>
      <w:r>
        <w:rPr>
          <w:rFonts w:eastAsia="標楷體" w:hAnsi="標楷體" w:hint="eastAsia"/>
          <w:color w:val="000000"/>
          <w:szCs w:val="24"/>
        </w:rPr>
        <w:t>評鑑加權平均達七十分（含）以上者，視為通過；未達七十分者，視為未通過。</w:t>
      </w:r>
    </w:p>
    <w:p w:rsidR="00E7660B" w:rsidRDefault="00E7660B" w:rsidP="00E7660B">
      <w:pPr>
        <w:spacing w:line="0" w:lineRule="atLeast"/>
        <w:ind w:leftChars="236" w:left="566" w:firstLine="2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評鑑成績或單項成績未達校訂標準者，</w:t>
      </w:r>
      <w:proofErr w:type="gramStart"/>
      <w:r>
        <w:rPr>
          <w:rFonts w:eastAsia="標楷體" w:hAnsi="標楷體" w:hint="eastAsia"/>
          <w:color w:val="000000"/>
          <w:szCs w:val="24"/>
        </w:rPr>
        <w:t>均需依</w:t>
      </w:r>
      <w:proofErr w:type="gramEnd"/>
      <w:r>
        <w:rPr>
          <w:rFonts w:eastAsia="標楷體" w:hAnsi="標楷體" w:hint="eastAsia"/>
          <w:color w:val="000000"/>
          <w:szCs w:val="24"/>
        </w:rPr>
        <w:t>銘傳大學教師評鑑辦法</w:t>
      </w:r>
      <w:r w:rsidRPr="002C2D19">
        <w:rPr>
          <w:rFonts w:eastAsia="標楷體" w:hAnsi="標楷體" w:hint="eastAsia"/>
          <w:b/>
          <w:color w:val="000000"/>
          <w:szCs w:val="24"/>
          <w:u w:val="single"/>
        </w:rPr>
        <w:t>第十一條及第十六條</w:t>
      </w:r>
      <w:r>
        <w:rPr>
          <w:rFonts w:eastAsia="標楷體" w:hAnsi="標楷體" w:hint="eastAsia"/>
          <w:color w:val="000000"/>
          <w:szCs w:val="24"/>
        </w:rPr>
        <w:t>之規定接受輔導。</w:t>
      </w:r>
    </w:p>
    <w:p w:rsidR="00E7660B" w:rsidRPr="005B006B" w:rsidRDefault="00E7660B" w:rsidP="00E7660B">
      <w:pPr>
        <w:spacing w:line="0" w:lineRule="atLeast"/>
        <w:ind w:left="437" w:hangingChars="182" w:hanging="437"/>
        <w:jc w:val="both"/>
        <w:rPr>
          <w:rFonts w:eastAsia="標楷體" w:hAnsi="標楷體"/>
          <w:b/>
          <w:color w:val="000000"/>
          <w:szCs w:val="24"/>
          <w:u w:val="single"/>
        </w:rPr>
      </w:pPr>
      <w:r>
        <w:rPr>
          <w:rFonts w:eastAsia="標楷體" w:hAnsi="標楷體" w:hint="eastAsia"/>
          <w:color w:val="000000"/>
          <w:szCs w:val="24"/>
        </w:rPr>
        <w:t>九、</w:t>
      </w:r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教師評鑑項目分為基本項目及評選項目。基本項目為</w:t>
      </w:r>
      <w:proofErr w:type="gramStart"/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校定</w:t>
      </w:r>
      <w:proofErr w:type="gramEnd"/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共同項目，</w:t>
      </w:r>
      <w:proofErr w:type="gramStart"/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選評項目</w:t>
      </w:r>
      <w:proofErr w:type="gramEnd"/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由院上參酌</w:t>
      </w:r>
      <w:proofErr w:type="gramStart"/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校定</w:t>
      </w:r>
      <w:proofErr w:type="gramEnd"/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評鑑項目及計分標準經院</w:t>
      </w:r>
      <w:proofErr w:type="gramStart"/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務</w:t>
      </w:r>
      <w:proofErr w:type="gramEnd"/>
      <w:r w:rsidRPr="005B006B">
        <w:rPr>
          <w:rFonts w:eastAsia="標楷體" w:hAnsi="標楷體" w:hint="eastAsia"/>
          <w:b/>
          <w:color w:val="000000"/>
          <w:szCs w:val="24"/>
          <w:u w:val="single"/>
        </w:rPr>
        <w:t>會議審議通過。</w:t>
      </w:r>
    </w:p>
    <w:p w:rsidR="00E7660B" w:rsidRDefault="00E7660B" w:rsidP="00E7660B">
      <w:pPr>
        <w:spacing w:line="0" w:lineRule="atLeast"/>
        <w:ind w:left="1200" w:hangingChars="500" w:hanging="1200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十、本院教師評鑑委員會得視實際需要，與院教師評審委員會成員相同。</w:t>
      </w:r>
    </w:p>
    <w:p w:rsidR="00E7660B" w:rsidRDefault="00E7660B" w:rsidP="00E7660B">
      <w:pPr>
        <w:spacing w:line="0" w:lineRule="atLeast"/>
        <w:ind w:leftChars="237" w:left="1200" w:hangingChars="263" w:hanging="631"/>
        <w:jc w:val="both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其中研究項目必須由相同或以上職級評鑑委員進行審查。</w:t>
      </w:r>
    </w:p>
    <w:p w:rsidR="00E7660B" w:rsidRDefault="00E7660B" w:rsidP="00E7660B">
      <w:pPr>
        <w:pStyle w:val="a3"/>
        <w:spacing w:beforeLines="0"/>
        <w:ind w:left="437" w:hangingChars="182" w:hanging="437"/>
        <w:rPr>
          <w:rFonts w:hAnsi="標楷體"/>
          <w:color w:val="000000"/>
          <w:sz w:val="24"/>
          <w:szCs w:val="24"/>
        </w:rPr>
      </w:pPr>
      <w:r>
        <w:rPr>
          <w:rFonts w:hAnsi="標楷體" w:hint="eastAsia"/>
          <w:color w:val="000000"/>
          <w:sz w:val="24"/>
          <w:szCs w:val="24"/>
        </w:rPr>
        <w:t>十一、教師評鑑程序如下：</w:t>
      </w:r>
    </w:p>
    <w:p w:rsidR="00E7660B" w:rsidRDefault="00E7660B" w:rsidP="00E7660B">
      <w:pPr>
        <w:snapToGrid w:val="0"/>
        <w:spacing w:line="0" w:lineRule="atLeast"/>
        <w:ind w:leftChars="235" w:left="564"/>
        <w:jc w:val="both"/>
        <w:rPr>
          <w:rFonts w:eastAsia="標楷體" w:hAnsi="標楷體"/>
          <w:b/>
          <w:szCs w:val="24"/>
          <w:u w:val="single"/>
        </w:rPr>
      </w:pPr>
      <w:r>
        <w:rPr>
          <w:rFonts w:eastAsia="標楷體" w:hAnsi="標楷體" w:hint="eastAsia"/>
          <w:b/>
          <w:szCs w:val="24"/>
          <w:u w:val="single"/>
        </w:rPr>
        <w:t>各級教師評鑑委員會作業期程，由校承辦單位於前一學年度下學期期末公告，教師評鑑</w:t>
      </w:r>
      <w:r>
        <w:rPr>
          <w:rFonts w:eastAsia="標楷體" w:hAnsi="標楷體"/>
          <w:b/>
          <w:szCs w:val="24"/>
          <w:u w:val="single"/>
        </w:rPr>
        <w:t>(</w:t>
      </w:r>
      <w:r>
        <w:rPr>
          <w:rFonts w:eastAsia="標楷體" w:hAnsi="標楷體" w:hint="eastAsia"/>
          <w:b/>
          <w:szCs w:val="24"/>
          <w:u w:val="single"/>
        </w:rPr>
        <w:t>含年度及綜合評鑑</w:t>
      </w:r>
      <w:r>
        <w:rPr>
          <w:rFonts w:eastAsia="標楷體" w:hAnsi="標楷體"/>
          <w:b/>
          <w:szCs w:val="24"/>
          <w:u w:val="single"/>
        </w:rPr>
        <w:t>)</w:t>
      </w:r>
      <w:r>
        <w:rPr>
          <w:rFonts w:eastAsia="標楷體" w:hAnsi="標楷體" w:hint="eastAsia"/>
          <w:b/>
          <w:szCs w:val="24"/>
          <w:u w:val="single"/>
        </w:rPr>
        <w:t>應於每學年度上學期結束前完成。</w:t>
      </w:r>
    </w:p>
    <w:p w:rsidR="00E7660B" w:rsidRDefault="00E7660B" w:rsidP="00E7660B">
      <w:pPr>
        <w:spacing w:line="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十二、</w:t>
      </w:r>
      <w:r>
        <w:rPr>
          <w:rFonts w:ascii="標楷體" w:eastAsia="標楷體" w:hAnsi="標楷體" w:hint="eastAsia"/>
          <w:color w:val="000000"/>
          <w:spacing w:val="8"/>
          <w:szCs w:val="24"/>
        </w:rPr>
        <w:t>評</w:t>
      </w:r>
      <w:r>
        <w:rPr>
          <w:rFonts w:ascii="標楷體" w:eastAsia="標楷體" w:hAnsi="標楷體" w:hint="eastAsia"/>
          <w:spacing w:val="8"/>
          <w:szCs w:val="24"/>
        </w:rPr>
        <w:t>鑑</w:t>
      </w:r>
      <w:proofErr w:type="gramStart"/>
      <w:r>
        <w:rPr>
          <w:rFonts w:ascii="標楷體" w:eastAsia="標楷體" w:hAnsi="標楷體" w:hint="eastAsia"/>
          <w:szCs w:val="24"/>
        </w:rPr>
        <w:t>結果均依</w:t>
      </w:r>
      <w:r>
        <w:rPr>
          <w:rFonts w:eastAsia="標楷體" w:hint="eastAsia"/>
          <w:szCs w:val="24"/>
        </w:rPr>
        <w:t>銘傳</w:t>
      </w:r>
      <w:proofErr w:type="gramEnd"/>
      <w:r>
        <w:rPr>
          <w:rFonts w:eastAsia="標楷體" w:hint="eastAsia"/>
          <w:szCs w:val="24"/>
        </w:rPr>
        <w:t>大學教師評鑑辦法</w:t>
      </w:r>
      <w:r>
        <w:rPr>
          <w:rFonts w:eastAsia="標楷體" w:hint="eastAsia"/>
          <w:b/>
          <w:szCs w:val="24"/>
          <w:u w:val="single"/>
        </w:rPr>
        <w:t>第十一條、第十六條</w:t>
      </w:r>
      <w:r>
        <w:rPr>
          <w:rFonts w:eastAsia="標楷體" w:hint="eastAsia"/>
          <w:szCs w:val="24"/>
        </w:rPr>
        <w:t>規定辦理。</w:t>
      </w:r>
    </w:p>
    <w:p w:rsidR="00E7660B" w:rsidRDefault="00E7660B" w:rsidP="00E7660B">
      <w:pPr>
        <w:snapToGrid w:val="0"/>
        <w:spacing w:line="0" w:lineRule="atLeast"/>
        <w:ind w:left="566" w:hangingChars="236" w:hanging="566"/>
        <w:jc w:val="both"/>
        <w:rPr>
          <w:rFonts w:eastAsia="標楷體" w:hAnsi="標楷體"/>
          <w:color w:val="000000"/>
          <w:kern w:val="0"/>
          <w:szCs w:val="24"/>
        </w:rPr>
      </w:pPr>
      <w:r>
        <w:rPr>
          <w:rFonts w:eastAsia="標楷體" w:hAnsi="標楷體" w:hint="eastAsia"/>
          <w:color w:val="000000"/>
          <w:szCs w:val="24"/>
        </w:rPr>
        <w:t>十三、教師對院評鑑委員會之審查結果有異議時，得於接獲通知十日內，</w:t>
      </w:r>
      <w:r w:rsidRPr="00FF0D29">
        <w:rPr>
          <w:rFonts w:eastAsia="標楷體" w:hAnsi="標楷體" w:hint="eastAsia"/>
          <w:b/>
          <w:szCs w:val="24"/>
          <w:u w:val="single"/>
        </w:rPr>
        <w:t>檢具</w:t>
      </w:r>
      <w:r w:rsidRPr="00FF0D29">
        <w:rPr>
          <w:rFonts w:eastAsia="標楷體" w:hAnsi="標楷體" w:hint="eastAsia"/>
          <w:b/>
          <w:kern w:val="0"/>
          <w:szCs w:val="24"/>
          <w:u w:val="single"/>
        </w:rPr>
        <w:t>相關資料</w:t>
      </w:r>
      <w:r w:rsidRPr="00FF0D29">
        <w:rPr>
          <w:rFonts w:eastAsia="標楷體" w:hAnsi="標楷體" w:hint="eastAsia"/>
          <w:b/>
          <w:kern w:val="0"/>
          <w:szCs w:val="24"/>
        </w:rPr>
        <w:t>，</w:t>
      </w:r>
      <w:r>
        <w:rPr>
          <w:rFonts w:eastAsia="標楷體" w:hAnsi="標楷體" w:hint="eastAsia"/>
          <w:color w:val="000000"/>
          <w:kern w:val="0"/>
          <w:szCs w:val="24"/>
        </w:rPr>
        <w:t>向院教師評鑑委員會提報申覆，申覆以一次為限。</w:t>
      </w:r>
    </w:p>
    <w:p w:rsidR="00E7660B" w:rsidRDefault="00E7660B" w:rsidP="00E7660B">
      <w:pPr>
        <w:pStyle w:val="a3"/>
        <w:spacing w:beforeLines="0"/>
        <w:ind w:left="708" w:hangingChars="295" w:hanging="708"/>
        <w:rPr>
          <w:rFonts w:hAnsi="標楷體"/>
          <w:color w:val="000000"/>
          <w:sz w:val="24"/>
          <w:szCs w:val="24"/>
        </w:rPr>
      </w:pPr>
      <w:r>
        <w:rPr>
          <w:rFonts w:hAnsi="標楷體" w:hint="eastAsia"/>
          <w:color w:val="000000"/>
          <w:sz w:val="24"/>
          <w:szCs w:val="24"/>
        </w:rPr>
        <w:t>十四、本院各學系應依</w:t>
      </w:r>
      <w:proofErr w:type="gramStart"/>
      <w:r>
        <w:rPr>
          <w:rFonts w:hAnsi="標楷體" w:hint="eastAsia"/>
          <w:color w:val="000000"/>
          <w:sz w:val="24"/>
          <w:szCs w:val="24"/>
        </w:rPr>
        <w:t>校定</w:t>
      </w:r>
      <w:proofErr w:type="gramEnd"/>
      <w:r>
        <w:rPr>
          <w:rFonts w:hAnsi="標楷體" w:hint="eastAsia"/>
          <w:color w:val="000000"/>
          <w:sz w:val="24"/>
          <w:szCs w:val="24"/>
        </w:rPr>
        <w:t>評鑑辦法</w:t>
      </w:r>
      <w:proofErr w:type="gramStart"/>
      <w:r>
        <w:rPr>
          <w:rFonts w:hAnsi="標楷體" w:hint="eastAsia"/>
          <w:color w:val="000000"/>
          <w:sz w:val="24"/>
          <w:szCs w:val="24"/>
        </w:rPr>
        <w:t>訂定學系</w:t>
      </w:r>
      <w:proofErr w:type="gramEnd"/>
      <w:r>
        <w:rPr>
          <w:rFonts w:hAnsi="標楷體" w:hint="eastAsia"/>
          <w:color w:val="000000"/>
          <w:sz w:val="24"/>
          <w:szCs w:val="24"/>
        </w:rPr>
        <w:t>評鑑準則及評鑑委員會組織章程，並報院</w:t>
      </w:r>
      <w:proofErr w:type="gramStart"/>
      <w:r>
        <w:rPr>
          <w:rFonts w:hAnsi="標楷體" w:hint="eastAsia"/>
          <w:color w:val="000000"/>
          <w:sz w:val="24"/>
          <w:szCs w:val="24"/>
        </w:rPr>
        <w:t>務</w:t>
      </w:r>
      <w:proofErr w:type="gramEnd"/>
      <w:r>
        <w:rPr>
          <w:rFonts w:hAnsi="標楷體" w:hint="eastAsia"/>
          <w:color w:val="000000"/>
          <w:sz w:val="24"/>
          <w:szCs w:val="24"/>
        </w:rPr>
        <w:t>會議核備。</w:t>
      </w:r>
    </w:p>
    <w:p w:rsidR="00E7660B" w:rsidRDefault="00E7660B" w:rsidP="00E7660B">
      <w:pPr>
        <w:pStyle w:val="a3"/>
        <w:spacing w:beforeLines="0"/>
        <w:ind w:left="1157" w:hangingChars="482" w:hanging="1157"/>
        <w:rPr>
          <w:rFonts w:hAnsi="標楷體"/>
          <w:sz w:val="24"/>
          <w:szCs w:val="24"/>
        </w:rPr>
      </w:pPr>
      <w:r>
        <w:rPr>
          <w:rFonts w:hAnsi="標楷體" w:hint="eastAsia"/>
          <w:color w:val="000000"/>
          <w:sz w:val="24"/>
          <w:szCs w:val="24"/>
        </w:rPr>
        <w:t>十五、</w:t>
      </w:r>
      <w:r>
        <w:rPr>
          <w:rFonts w:hAnsi="標楷體" w:hint="eastAsia"/>
          <w:sz w:val="24"/>
          <w:szCs w:val="24"/>
        </w:rPr>
        <w:t>本準則經院</w:t>
      </w:r>
      <w:proofErr w:type="gramStart"/>
      <w:r>
        <w:rPr>
          <w:rFonts w:hAnsi="標楷體" w:hint="eastAsia"/>
          <w:sz w:val="24"/>
          <w:szCs w:val="24"/>
        </w:rPr>
        <w:t>務</w:t>
      </w:r>
      <w:proofErr w:type="gramEnd"/>
      <w:r>
        <w:rPr>
          <w:rFonts w:hAnsi="標楷體" w:hint="eastAsia"/>
          <w:sz w:val="24"/>
          <w:szCs w:val="24"/>
        </w:rPr>
        <w:t>會議通過，校長核定後實施，修正時亦同。</w:t>
      </w:r>
    </w:p>
    <w:p w:rsidR="00E7660B" w:rsidRDefault="00E7660B" w:rsidP="00E7660B">
      <w:pPr>
        <w:ind w:left="1135" w:hangingChars="436" w:hanging="1135"/>
        <w:rPr>
          <w:rFonts w:ascii="標楷體" w:eastAsia="標楷體" w:hAnsi="標楷體"/>
          <w:b/>
          <w:sz w:val="26"/>
          <w:szCs w:val="26"/>
        </w:rPr>
      </w:pPr>
    </w:p>
    <w:p w:rsidR="00E57116" w:rsidRPr="00E7660B" w:rsidRDefault="00E57116"/>
    <w:sectPr w:rsidR="00E57116" w:rsidRPr="00E7660B" w:rsidSect="00E7660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E7" w:rsidRDefault="00D757E7" w:rsidP="00233717">
      <w:r>
        <w:separator/>
      </w:r>
    </w:p>
  </w:endnote>
  <w:endnote w:type="continuationSeparator" w:id="0">
    <w:p w:rsidR="00D757E7" w:rsidRDefault="00D757E7" w:rsidP="0023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E7" w:rsidRDefault="00D757E7" w:rsidP="00233717">
      <w:r>
        <w:separator/>
      </w:r>
    </w:p>
  </w:footnote>
  <w:footnote w:type="continuationSeparator" w:id="0">
    <w:p w:rsidR="00D757E7" w:rsidRDefault="00D757E7" w:rsidP="0023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60B"/>
    <w:rsid w:val="001553B3"/>
    <w:rsid w:val="00233717"/>
    <w:rsid w:val="00290B8F"/>
    <w:rsid w:val="004666A8"/>
    <w:rsid w:val="00494A17"/>
    <w:rsid w:val="00732CF5"/>
    <w:rsid w:val="008C149E"/>
    <w:rsid w:val="00D757E7"/>
    <w:rsid w:val="00E57116"/>
    <w:rsid w:val="00E7660B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0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E7660B"/>
    <w:pPr>
      <w:keepNext/>
      <w:adjustRightInd w:val="0"/>
      <w:spacing w:beforeLines="100"/>
      <w:ind w:left="640" w:hangingChars="200" w:hanging="640"/>
      <w:textAlignment w:val="baseline"/>
      <w:outlineLvl w:val="2"/>
    </w:pPr>
    <w:rPr>
      <w:rFonts w:eastAsia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7660B"/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3">
    <w:name w:val="條款"/>
    <w:basedOn w:val="a"/>
    <w:link w:val="a4"/>
    <w:rsid w:val="00E7660B"/>
    <w:pPr>
      <w:adjustRightInd w:val="0"/>
      <w:spacing w:beforeLines="50" w:line="0" w:lineRule="atLeast"/>
      <w:ind w:left="500" w:hangingChars="500" w:hanging="500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a4">
    <w:name w:val="條款 字元"/>
    <w:basedOn w:val="a0"/>
    <w:link w:val="a3"/>
    <w:rsid w:val="00E7660B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a5">
    <w:name w:val="條款一 字元"/>
    <w:link w:val="a6"/>
    <w:locked/>
    <w:rsid w:val="00E7660B"/>
    <w:rPr>
      <w:rFonts w:ascii="TimesNewRomanPS" w:eastAsia="標楷體"/>
      <w:sz w:val="28"/>
      <w:szCs w:val="28"/>
    </w:rPr>
  </w:style>
  <w:style w:type="paragraph" w:customStyle="1" w:styleId="a6">
    <w:name w:val="條款一"/>
    <w:basedOn w:val="a3"/>
    <w:link w:val="a5"/>
    <w:rsid w:val="00E7660B"/>
    <w:pPr>
      <w:spacing w:beforeLines="0" w:line="240" w:lineRule="atLeast"/>
      <w:ind w:leftChars="680" w:left="880" w:hangingChars="200" w:hanging="200"/>
      <w:textAlignment w:val="auto"/>
    </w:pPr>
    <w:rPr>
      <w:rFonts w:ascii="TimesNewRomanPS" w:hAnsiTheme="minorHAnsi" w:cstheme="minorBidi"/>
      <w:kern w:val="2"/>
    </w:rPr>
  </w:style>
  <w:style w:type="paragraph" w:styleId="a7">
    <w:name w:val="header"/>
    <w:basedOn w:val="a"/>
    <w:link w:val="a8"/>
    <w:uiPriority w:val="99"/>
    <w:unhideWhenUsed/>
    <w:rsid w:val="002337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337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37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3371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Office Word</Application>
  <DocSecurity>0</DocSecurity>
  <Lines>12</Lines>
  <Paragraphs>3</Paragraphs>
  <ScaleCrop>false</ScaleCrop>
  <Company>mcu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admin</cp:lastModifiedBy>
  <cp:revision>2</cp:revision>
  <dcterms:created xsi:type="dcterms:W3CDTF">2012-09-25T07:13:00Z</dcterms:created>
  <dcterms:modified xsi:type="dcterms:W3CDTF">2014-12-18T05:09:00Z</dcterms:modified>
</cp:coreProperties>
</file>