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BA" w:rsidRDefault="00DD692E">
      <w:pPr>
        <w:pStyle w:val="a3"/>
      </w:pPr>
      <w:bookmarkStart w:id="0" w:name="_Toc326285194"/>
      <w:bookmarkStart w:id="1" w:name="_GoBack"/>
      <w:bookmarkEnd w:id="1"/>
      <w:r>
        <w:t>銘傳大學觀光學院觀光事業學系碩士班必選修科目表</w:t>
      </w:r>
      <w:r>
        <w:rPr>
          <w:sz w:val="20"/>
          <w:szCs w:val="20"/>
        </w:rPr>
        <w:t>（</w:t>
      </w:r>
      <w:r>
        <w:rPr>
          <w:sz w:val="20"/>
          <w:szCs w:val="20"/>
        </w:rPr>
        <w:t>108</w:t>
      </w:r>
      <w:r>
        <w:rPr>
          <w:sz w:val="20"/>
          <w:szCs w:val="20"/>
        </w:rPr>
        <w:t>學年度入學碩士生適用）</w:t>
      </w:r>
      <w:bookmarkEnd w:id="0"/>
    </w:p>
    <w:p w:rsidR="007A65BA" w:rsidRDefault="007A65BA">
      <w:pPr>
        <w:pStyle w:val="Default3"/>
        <w:ind w:left="1353" w:hanging="650"/>
        <w:rPr>
          <w:color w:val="auto"/>
          <w:sz w:val="26"/>
          <w:szCs w:val="26"/>
        </w:rPr>
      </w:pPr>
    </w:p>
    <w:tbl>
      <w:tblPr>
        <w:tblW w:w="4849" w:type="pct"/>
        <w:tblCellMar>
          <w:left w:w="10" w:type="dxa"/>
          <w:right w:w="10" w:type="dxa"/>
        </w:tblCellMar>
        <w:tblLook w:val="0000" w:firstRow="0" w:lastRow="0" w:firstColumn="0" w:lastColumn="0" w:noHBand="0" w:noVBand="0"/>
      </w:tblPr>
      <w:tblGrid>
        <w:gridCol w:w="985"/>
        <w:gridCol w:w="3630"/>
        <w:gridCol w:w="576"/>
        <w:gridCol w:w="576"/>
        <w:gridCol w:w="573"/>
        <w:gridCol w:w="567"/>
        <w:gridCol w:w="7"/>
        <w:gridCol w:w="567"/>
        <w:gridCol w:w="6"/>
        <w:gridCol w:w="578"/>
        <w:gridCol w:w="2139"/>
      </w:tblGrid>
      <w:tr w:rsidR="007A65BA">
        <w:tblPrEx>
          <w:tblCellMar>
            <w:top w:w="0" w:type="dxa"/>
            <w:bottom w:w="0" w:type="dxa"/>
          </w:tblCellMar>
        </w:tblPrEx>
        <w:trPr>
          <w:cantSplit/>
          <w:trHeight w:val="20"/>
        </w:trPr>
        <w:tc>
          <w:tcPr>
            <w:tcW w:w="46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kern w:val="0"/>
              </w:rPr>
            </w:pPr>
            <w:r>
              <w:rPr>
                <w:rFonts w:eastAsia="標楷體"/>
                <w:b/>
                <w:kern w:val="0"/>
              </w:rPr>
              <w:t>課</w:t>
            </w:r>
            <w:r>
              <w:rPr>
                <w:rFonts w:eastAsia="標楷體"/>
                <w:b/>
                <w:kern w:val="0"/>
              </w:rPr>
              <w:t xml:space="preserve">    </w:t>
            </w:r>
            <w:r>
              <w:rPr>
                <w:rFonts w:eastAsia="標楷體"/>
                <w:b/>
                <w:kern w:val="0"/>
              </w:rPr>
              <w:t>程</w:t>
            </w:r>
            <w:r>
              <w:rPr>
                <w:rFonts w:eastAsia="標楷體"/>
                <w:b/>
                <w:kern w:val="0"/>
              </w:rPr>
              <w:t xml:space="preserve">    </w:t>
            </w:r>
            <w:r>
              <w:rPr>
                <w:rFonts w:eastAsia="標楷體"/>
                <w:b/>
                <w:kern w:val="0"/>
              </w:rPr>
              <w:t>名</w:t>
            </w:r>
            <w:r>
              <w:rPr>
                <w:rFonts w:eastAsia="標楷體"/>
                <w:b/>
                <w:kern w:val="0"/>
              </w:rPr>
              <w:t xml:space="preserve">    </w:t>
            </w:r>
            <w:r>
              <w:rPr>
                <w:rFonts w:eastAsia="標楷體"/>
                <w:b/>
                <w:kern w:val="0"/>
              </w:rPr>
              <w:t>稱</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rPr>
                <w:rFonts w:eastAsia="標楷體"/>
                <w:b/>
                <w:kern w:val="0"/>
              </w:rPr>
            </w:pPr>
            <w:r>
              <w:rPr>
                <w:rFonts w:eastAsia="標楷體"/>
                <w:b/>
                <w:kern w:val="0"/>
              </w:rPr>
              <w:t>學</w:t>
            </w:r>
          </w:p>
          <w:p w:rsidR="007A65BA" w:rsidRDefault="00DD692E">
            <w:pPr>
              <w:snapToGrid w:val="0"/>
              <w:rPr>
                <w:rFonts w:eastAsia="標楷體"/>
                <w:b/>
                <w:kern w:val="0"/>
              </w:rPr>
            </w:pPr>
            <w:r>
              <w:rPr>
                <w:rFonts w:eastAsia="標楷體"/>
                <w:b/>
                <w:kern w:val="0"/>
              </w:rPr>
              <w:t>分</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rPr>
                <w:rFonts w:eastAsia="標楷體"/>
                <w:b/>
                <w:kern w:val="0"/>
              </w:rPr>
            </w:pPr>
            <w:r>
              <w:rPr>
                <w:rFonts w:eastAsia="標楷體"/>
                <w:b/>
                <w:kern w:val="0"/>
              </w:rPr>
              <w:t>時</w:t>
            </w:r>
          </w:p>
          <w:p w:rsidR="007A65BA" w:rsidRDefault="00DD692E">
            <w:pPr>
              <w:snapToGrid w:val="0"/>
              <w:rPr>
                <w:rFonts w:eastAsia="標楷體"/>
                <w:b/>
                <w:kern w:val="0"/>
              </w:rPr>
            </w:pPr>
            <w:r>
              <w:rPr>
                <w:rFonts w:eastAsia="標楷體"/>
                <w:b/>
                <w:kern w:val="0"/>
              </w:rPr>
              <w:t>數</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kern w:val="0"/>
              </w:rPr>
            </w:pPr>
            <w:r>
              <w:rPr>
                <w:rFonts w:eastAsia="標楷體"/>
                <w:b/>
                <w:kern w:val="0"/>
              </w:rPr>
              <w:t>一年級</w:t>
            </w:r>
          </w:p>
        </w:tc>
        <w:tc>
          <w:tcPr>
            <w:tcW w:w="1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kern w:val="0"/>
              </w:rPr>
            </w:pPr>
            <w:r>
              <w:rPr>
                <w:rFonts w:eastAsia="標楷體"/>
                <w:b/>
                <w:kern w:val="0"/>
              </w:rPr>
              <w:t>二年級</w:t>
            </w:r>
          </w:p>
        </w:tc>
        <w:tc>
          <w:tcPr>
            <w:tcW w:w="2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rPr>
            </w:pPr>
            <w:r>
              <w:rPr>
                <w:rFonts w:eastAsia="標楷體"/>
                <w:b/>
              </w:rPr>
              <w:t>備</w:t>
            </w:r>
            <w:r>
              <w:rPr>
                <w:rFonts w:eastAsia="標楷體"/>
                <w:b/>
              </w:rPr>
              <w:t xml:space="preserve">      </w:t>
            </w:r>
            <w:r>
              <w:rPr>
                <w:rFonts w:eastAsia="標楷體"/>
                <w:b/>
              </w:rPr>
              <w:t>註</w:t>
            </w:r>
          </w:p>
        </w:tc>
      </w:tr>
      <w:tr w:rsidR="007A65BA">
        <w:tblPrEx>
          <w:tblCellMar>
            <w:top w:w="0" w:type="dxa"/>
            <w:bottom w:w="0" w:type="dxa"/>
          </w:tblCellMar>
        </w:tblPrEx>
        <w:trPr>
          <w:cantSplit/>
          <w:trHeight w:val="20"/>
        </w:trPr>
        <w:tc>
          <w:tcPr>
            <w:tcW w:w="46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kern w:val="0"/>
              </w:rPr>
            </w:pPr>
            <w:r>
              <w:rPr>
                <w:rFonts w:eastAsia="標楷體"/>
                <w:b/>
                <w:kern w:val="0"/>
              </w:rPr>
              <w:t>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kern w:val="0"/>
              </w:rPr>
            </w:pPr>
            <w:r>
              <w:rPr>
                <w:rFonts w:eastAsia="標楷體"/>
                <w:b/>
                <w:kern w:val="0"/>
              </w:rPr>
              <w:t>下</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kern w:val="0"/>
              </w:rPr>
            </w:pPr>
            <w:r>
              <w:rPr>
                <w:rFonts w:eastAsia="標楷體"/>
                <w:b/>
                <w:kern w:val="0"/>
              </w:rPr>
              <w:t>上</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b/>
                <w:kern w:val="0"/>
              </w:rPr>
            </w:pPr>
            <w:r>
              <w:rPr>
                <w:rFonts w:eastAsia="標楷體"/>
                <w:b/>
                <w:kern w:val="0"/>
              </w:rPr>
              <w:t>下</w:t>
            </w:r>
          </w:p>
        </w:tc>
        <w:tc>
          <w:tcPr>
            <w:tcW w:w="2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both"/>
              <w:rPr>
                <w:rFonts w:eastAsia="標楷體"/>
              </w:rPr>
            </w:pPr>
          </w:p>
        </w:tc>
      </w:tr>
      <w:tr w:rsidR="007A65BA">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校定</w:t>
            </w:r>
          </w:p>
          <w:p w:rsidR="007A65BA" w:rsidRDefault="00DD692E">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必修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實務應用英文</w:t>
            </w:r>
            <w:r>
              <w:rPr>
                <w:rFonts w:eastAsia="標楷體"/>
                <w:sz w:val="20"/>
                <w:szCs w:val="20"/>
              </w:rPr>
              <w:t>(</w:t>
            </w:r>
            <w:r>
              <w:rPr>
                <w:rFonts w:eastAsia="標楷體"/>
                <w:sz w:val="20"/>
                <w:szCs w:val="20"/>
              </w:rPr>
              <w:t>一</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spacing w:line="320" w:lineRule="exact"/>
              <w:jc w:val="center"/>
              <w:rPr>
                <w:rFonts w:eastAsia="標楷體"/>
                <w:kern w:val="0"/>
                <w:sz w:val="20"/>
                <w:szCs w:val="20"/>
              </w:rPr>
            </w:pPr>
            <w:r>
              <w:rPr>
                <w:rFonts w:eastAsia="標楷體"/>
                <w:kern w:val="0"/>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spacing w:line="320" w:lineRule="exact"/>
              <w:jc w:val="center"/>
              <w:rPr>
                <w:rFonts w:eastAsia="標楷體"/>
                <w:kern w:val="0"/>
                <w:sz w:val="20"/>
                <w:szCs w:val="20"/>
              </w:rPr>
            </w:pPr>
            <w:r>
              <w:rPr>
                <w:rFonts w:eastAsia="標楷體"/>
                <w:kern w:val="0"/>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spacing w:line="320" w:lineRule="exact"/>
              <w:jc w:val="center"/>
              <w:rPr>
                <w:rFonts w:eastAsia="標楷體"/>
                <w:kern w:val="0"/>
                <w:sz w:val="20"/>
                <w:szCs w:val="20"/>
              </w:rPr>
            </w:pPr>
            <w:r>
              <w:rPr>
                <w:rFonts w:eastAsia="標楷體"/>
                <w:kern w:val="0"/>
                <w:sz w:val="20"/>
                <w:szCs w:val="20"/>
              </w:rPr>
              <w:t>2</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spacing w:line="320" w:lineRule="exact"/>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spacing w:line="320" w:lineRule="exact"/>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spacing w:line="320" w:lineRule="exact"/>
              <w:jc w:val="center"/>
              <w:rPr>
                <w:rFonts w:eastAsia="標楷體"/>
                <w:kern w:val="0"/>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5BA" w:rsidRDefault="007A65BA">
            <w:pPr>
              <w:pStyle w:val="11"/>
              <w:snapToGrid w:val="0"/>
              <w:spacing w:line="240" w:lineRule="auto"/>
              <w:ind w:left="480"/>
              <w:jc w:val="both"/>
              <w:rPr>
                <w:rFonts w:ascii="Times New Roman" w:eastAsia="標楷體" w:hAnsi="Times New Roman"/>
                <w:sz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實務應用英文</w:t>
            </w:r>
            <w:r>
              <w:rPr>
                <w:rFonts w:eastAsia="標楷體"/>
                <w:sz w:val="20"/>
                <w:szCs w:val="20"/>
              </w:rPr>
              <w:t>(</w:t>
            </w:r>
            <w:r>
              <w:rPr>
                <w:rFonts w:eastAsia="標楷體"/>
                <w:sz w:val="20"/>
                <w:szCs w:val="20"/>
              </w:rPr>
              <w:t>二</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spacing w:line="320" w:lineRule="exact"/>
              <w:jc w:val="center"/>
              <w:rPr>
                <w:rFonts w:eastAsia="標楷體"/>
                <w:kern w:val="0"/>
                <w:sz w:val="20"/>
                <w:szCs w:val="20"/>
              </w:rPr>
            </w:pPr>
            <w:r>
              <w:rPr>
                <w:rFonts w:eastAsia="標楷體"/>
                <w:kern w:val="0"/>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spacing w:line="320" w:lineRule="exact"/>
              <w:jc w:val="center"/>
              <w:rPr>
                <w:rFonts w:eastAsia="標楷體"/>
                <w:kern w:val="0"/>
                <w:sz w:val="20"/>
                <w:szCs w:val="20"/>
              </w:rPr>
            </w:pPr>
            <w:r>
              <w:rPr>
                <w:rFonts w:eastAsia="標楷體"/>
                <w:kern w:val="0"/>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spacing w:line="320" w:lineRule="exact"/>
              <w:jc w:val="center"/>
              <w:rPr>
                <w:rFonts w:eastAsia="標楷體"/>
                <w:kern w:val="0"/>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spacing w:line="320" w:lineRule="exact"/>
              <w:jc w:val="center"/>
              <w:rPr>
                <w:rFonts w:eastAsia="標楷體"/>
                <w:kern w:val="0"/>
                <w:sz w:val="20"/>
                <w:szCs w:val="20"/>
              </w:rPr>
            </w:pPr>
            <w:r>
              <w:rPr>
                <w:rFonts w:eastAsia="標楷體"/>
                <w:kern w:val="0"/>
                <w:sz w:val="20"/>
                <w:szCs w:val="20"/>
              </w:rPr>
              <w:t>2</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spacing w:line="320" w:lineRule="exact"/>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spacing w:line="320" w:lineRule="exact"/>
              <w:jc w:val="center"/>
              <w:rPr>
                <w:rFonts w:eastAsia="標楷體"/>
                <w:kern w:val="0"/>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r>
      <w:tr w:rsidR="007A65BA">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專業</w:t>
            </w:r>
          </w:p>
          <w:p w:rsidR="007A65BA" w:rsidRDefault="00DD692E">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必修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英文論文寫作</w:t>
            </w:r>
            <w:r>
              <w:rPr>
                <w:rFonts w:eastAsia="標楷體"/>
                <w:sz w:val="20"/>
                <w:szCs w:val="20"/>
              </w:rPr>
              <w:t>(</w:t>
            </w:r>
            <w:r>
              <w:rPr>
                <w:rFonts w:eastAsia="標楷體"/>
                <w:sz w:val="20"/>
                <w:szCs w:val="20"/>
              </w:rPr>
              <w:t>一</w:t>
            </w:r>
            <w:r>
              <w:rPr>
                <w:rFonts w:eastAsia="標楷體"/>
                <w:sz w:val="20"/>
                <w:szCs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5BA" w:rsidRDefault="007A65BA">
            <w:pPr>
              <w:pStyle w:val="11"/>
              <w:snapToGrid w:val="0"/>
              <w:spacing w:line="240" w:lineRule="auto"/>
              <w:ind w:left="480"/>
              <w:jc w:val="both"/>
              <w:rPr>
                <w:rFonts w:ascii="Times New Roman" w:eastAsia="標楷體" w:hAnsi="Times New Roman"/>
                <w:sz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英文論文寫作</w:t>
            </w: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觀光研究方法</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b/>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b/>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b/>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觀光統計分析與應用</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rPr>
                <w:rFonts w:eastAsia="標楷體"/>
                <w:sz w:val="20"/>
                <w:szCs w:val="20"/>
              </w:rPr>
            </w:pPr>
            <w:r>
              <w:rPr>
                <w:rFonts w:eastAsia="標楷體"/>
                <w:sz w:val="20"/>
                <w:szCs w:val="20"/>
              </w:rPr>
              <w:t>電腦課程</w:t>
            </w: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當代觀光課題研究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b/>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b/>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rPr>
                <w:rFonts w:eastAsia="標楷體"/>
                <w:sz w:val="20"/>
                <w:szCs w:val="20"/>
              </w:rPr>
            </w:pPr>
            <w:r>
              <w:rPr>
                <w:rFonts w:eastAsia="標楷體"/>
                <w:sz w:val="20"/>
                <w:szCs w:val="20"/>
              </w:rPr>
              <w:t xml:space="preserve"> </w:t>
            </w:r>
          </w:p>
        </w:tc>
      </w:tr>
      <w:tr w:rsidR="007A65BA">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專業</w:t>
            </w:r>
          </w:p>
          <w:p w:rsidR="007A65BA" w:rsidRDefault="00DD692E">
            <w:pPr>
              <w:pStyle w:val="11"/>
              <w:autoSpaceDE w:val="0"/>
              <w:snapToGrid w:val="0"/>
              <w:jc w:val="center"/>
              <w:textAlignment w:val="bottom"/>
              <w:rPr>
                <w:rFonts w:ascii="Times New Roman" w:eastAsia="標楷體" w:hAnsi="Times New Roman"/>
                <w:sz w:val="20"/>
              </w:rPr>
            </w:pPr>
            <w:r>
              <w:rPr>
                <w:rFonts w:ascii="Times New Roman" w:eastAsia="標楷體" w:hAnsi="Times New Roman"/>
                <w:sz w:val="20"/>
              </w:rPr>
              <w:t>選修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觀光餐旅人力資源管理研究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觀光遊憩經濟研究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觀光餐旅行銷管理研究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觀光旅遊消費者行為研究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snapToGrid w:val="0"/>
              <w:spacing w:line="240" w:lineRule="auto"/>
              <w:jc w:val="center"/>
              <w:rPr>
                <w:rFonts w:ascii="Times New Roman" w:eastAsia="標楷體" w:hAnsi="Times New Roman"/>
                <w:sz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觀光餐旅倫理與服務品質管理研究</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觀光遊憩研究</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旅運經營管理研究</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觀光質性研究</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觀光餐旅財務管理研究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觀光遊憩規劃與設計研究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觀光餐旅遊憩策略管理研究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觀光餐旅資訊科技應用研究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rPr>
                <w:rFonts w:eastAsia="標楷體"/>
                <w:sz w:val="20"/>
                <w:szCs w:val="20"/>
              </w:rPr>
            </w:pPr>
            <w:r>
              <w:rPr>
                <w:rFonts w:eastAsia="標楷體"/>
                <w:sz w:val="20"/>
                <w:szCs w:val="20"/>
              </w:rPr>
              <w:t>電腦課程</w:t>
            </w: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觀光餐旅投資計畫評估研究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休閒產業開發與投資研究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觀光政策與法規研究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rPr>
                <w:rFonts w:eastAsia="標楷體"/>
                <w:sz w:val="20"/>
                <w:szCs w:val="20"/>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專業實習</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ind w:left="605" w:hanging="605"/>
              <w:rPr>
                <w:rFonts w:eastAsia="標楷體"/>
                <w:sz w:val="16"/>
                <w:szCs w:val="16"/>
              </w:rPr>
            </w:pPr>
          </w:p>
        </w:tc>
      </w:tr>
      <w:tr w:rsidR="007A65BA">
        <w:tblPrEx>
          <w:tblCellMar>
            <w:top w:w="0" w:type="dxa"/>
            <w:bottom w:w="0" w:type="dxa"/>
          </w:tblCellMar>
        </w:tblPrEx>
        <w:trPr>
          <w:cantSplit/>
          <w:trHeight w:val="326"/>
        </w:trPr>
        <w:tc>
          <w:tcPr>
            <w:tcW w:w="9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both"/>
              <w:rPr>
                <w:rFonts w:eastAsia="標楷體"/>
                <w:sz w:val="20"/>
                <w:szCs w:val="20"/>
              </w:rPr>
            </w:pPr>
            <w:r>
              <w:rPr>
                <w:rFonts w:eastAsia="標楷體"/>
                <w:sz w:val="20"/>
                <w:szCs w:val="20"/>
              </w:rPr>
              <w:t>職場應用英文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jc w:val="center"/>
              <w:rPr>
                <w:rFonts w:eastAsia="標楷體"/>
                <w:sz w:val="20"/>
                <w:szCs w:val="20"/>
              </w:rPr>
            </w:pPr>
            <w:r>
              <w:rPr>
                <w:rFonts w:eastAsia="標楷體"/>
                <w:sz w:val="20"/>
                <w:szCs w:val="20"/>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snapToGrid w:val="0"/>
              <w:ind w:left="605" w:hanging="605"/>
              <w:rPr>
                <w:rFonts w:eastAsia="標楷體"/>
                <w:kern w:val="0"/>
                <w:sz w:val="16"/>
                <w:szCs w:val="16"/>
              </w:rPr>
            </w:pPr>
            <w:r>
              <w:rPr>
                <w:rFonts w:eastAsia="標楷體"/>
                <w:kern w:val="0"/>
                <w:sz w:val="16"/>
                <w:szCs w:val="16"/>
              </w:rPr>
              <w:t>備註</w:t>
            </w:r>
            <w:r>
              <w:rPr>
                <w:rFonts w:eastAsia="標楷體"/>
                <w:kern w:val="0"/>
                <w:sz w:val="16"/>
                <w:szCs w:val="16"/>
              </w:rPr>
              <w:t>4</w:t>
            </w:r>
          </w:p>
        </w:tc>
      </w:tr>
      <w:tr w:rsidR="007A65BA">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總計</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jc w:val="both"/>
              <w:rPr>
                <w:rFonts w:eastAsia="標楷體"/>
                <w:sz w:val="20"/>
                <w:szCs w:val="20"/>
              </w:rPr>
            </w:pPr>
            <w:r>
              <w:rPr>
                <w:rFonts w:eastAsia="標楷體"/>
                <w:sz w:val="20"/>
                <w:szCs w:val="20"/>
              </w:rPr>
              <w:t>必修學分數</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jc w:val="center"/>
              <w:rPr>
                <w:rFonts w:eastAsia="標楷體"/>
                <w:sz w:val="20"/>
                <w:szCs w:val="20"/>
              </w:rPr>
            </w:pPr>
            <w:r>
              <w:rPr>
                <w:rFonts w:eastAsia="標楷體"/>
                <w:sz w:val="20"/>
                <w:szCs w:val="20"/>
              </w:rPr>
              <w:t>17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trike/>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trike/>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trike/>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trike/>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trike/>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5BA" w:rsidRDefault="007A65BA">
            <w:pPr>
              <w:rPr>
                <w:rFonts w:eastAsia="標楷體"/>
                <w:strike/>
                <w:sz w:val="16"/>
                <w:szCs w:val="16"/>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jc w:val="both"/>
              <w:rPr>
                <w:rFonts w:eastAsia="標楷體"/>
                <w:sz w:val="20"/>
                <w:szCs w:val="20"/>
              </w:rPr>
            </w:pPr>
            <w:r>
              <w:rPr>
                <w:rFonts w:eastAsia="標楷體"/>
                <w:sz w:val="20"/>
                <w:szCs w:val="20"/>
              </w:rPr>
              <w:t>應選修學分數</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jc w:val="center"/>
              <w:rPr>
                <w:rFonts w:eastAsia="標楷體"/>
                <w:sz w:val="20"/>
                <w:szCs w:val="20"/>
              </w:rPr>
            </w:pPr>
            <w:r>
              <w:rPr>
                <w:rFonts w:eastAsia="標楷體"/>
                <w:sz w:val="20"/>
                <w:szCs w:val="20"/>
              </w:rPr>
              <w:t>27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5BA" w:rsidRDefault="007A65BA">
            <w:pPr>
              <w:rPr>
                <w:rFonts w:eastAsia="標楷體"/>
                <w:sz w:val="16"/>
                <w:szCs w:val="16"/>
              </w:rPr>
            </w:pPr>
          </w:p>
        </w:tc>
      </w:tr>
      <w:tr w:rsidR="007A65BA">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jc w:val="both"/>
              <w:rPr>
                <w:rFonts w:eastAsia="標楷體"/>
                <w:sz w:val="20"/>
                <w:szCs w:val="20"/>
              </w:rPr>
            </w:pPr>
            <w:r>
              <w:rPr>
                <w:rFonts w:eastAsia="標楷體"/>
                <w:sz w:val="20"/>
                <w:szCs w:val="20"/>
              </w:rPr>
              <w:t>合</w:t>
            </w:r>
            <w:r>
              <w:rPr>
                <w:rFonts w:eastAsia="標楷體"/>
                <w:sz w:val="20"/>
                <w:szCs w:val="20"/>
              </w:rPr>
              <w:t xml:space="preserve">  </w:t>
            </w:r>
            <w:r>
              <w:rPr>
                <w:rFonts w:eastAsia="標楷體"/>
                <w:sz w:val="20"/>
                <w:szCs w:val="20"/>
              </w:rPr>
              <w:t>計</w:t>
            </w:r>
            <w:r>
              <w:rPr>
                <w:rFonts w:eastAsia="標楷體"/>
                <w:sz w:val="20"/>
                <w:szCs w:val="20"/>
              </w:rPr>
              <w:t xml:space="preserve"> (</w:t>
            </w:r>
            <w:r>
              <w:rPr>
                <w:rFonts w:eastAsia="標楷體"/>
                <w:sz w:val="20"/>
                <w:szCs w:val="20"/>
              </w:rPr>
              <w:t>畢業學分</w:t>
            </w:r>
            <w:r>
              <w:rPr>
                <w:rFonts w:eastAsia="標楷體"/>
                <w:sz w:val="20"/>
                <w:szCs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DD692E">
            <w:pPr>
              <w:jc w:val="center"/>
              <w:rPr>
                <w:rFonts w:eastAsia="標楷體"/>
                <w:b/>
                <w:sz w:val="20"/>
                <w:szCs w:val="20"/>
              </w:rPr>
            </w:pPr>
            <w:r>
              <w:rPr>
                <w:rFonts w:eastAsia="標楷體"/>
                <w:b/>
                <w:sz w:val="20"/>
                <w:szCs w:val="20"/>
              </w:rPr>
              <w:t>44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5BA" w:rsidRDefault="007A65BA">
            <w:pPr>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5BA" w:rsidRDefault="007A65BA">
            <w:pPr>
              <w:rPr>
                <w:rFonts w:eastAsia="標楷體"/>
                <w:sz w:val="16"/>
                <w:szCs w:val="16"/>
              </w:rPr>
            </w:pPr>
          </w:p>
        </w:tc>
      </w:tr>
    </w:tbl>
    <w:p w:rsidR="007A65BA" w:rsidRDefault="00DD692E">
      <w:pPr>
        <w:snapToGrid w:val="0"/>
        <w:rPr>
          <w:rFonts w:ascii="標楷體" w:eastAsia="標楷體" w:hAnsi="標楷體"/>
          <w:b/>
          <w:sz w:val="22"/>
          <w:szCs w:val="16"/>
        </w:rPr>
      </w:pPr>
      <w:r>
        <w:rPr>
          <w:rFonts w:ascii="標楷體" w:eastAsia="標楷體" w:hAnsi="標楷體"/>
          <w:b/>
          <w:sz w:val="22"/>
          <w:szCs w:val="16"/>
        </w:rPr>
        <w:t>備註：</w:t>
      </w:r>
    </w:p>
    <w:p w:rsidR="007A65BA" w:rsidRDefault="00DD692E">
      <w:pPr>
        <w:numPr>
          <w:ilvl w:val="0"/>
          <w:numId w:val="1"/>
        </w:numPr>
        <w:snapToGrid w:val="0"/>
        <w:rPr>
          <w:rFonts w:eastAsia="標楷體"/>
          <w:sz w:val="22"/>
          <w:szCs w:val="16"/>
        </w:rPr>
      </w:pPr>
      <w:r>
        <w:rPr>
          <w:rFonts w:eastAsia="標楷體"/>
          <w:sz w:val="22"/>
          <w:szCs w:val="16"/>
        </w:rPr>
        <w:t>本系碩士班必須修滿及格必修暨選修課程達</w:t>
      </w:r>
      <w:r>
        <w:rPr>
          <w:rFonts w:eastAsia="標楷體"/>
          <w:sz w:val="22"/>
          <w:szCs w:val="16"/>
        </w:rPr>
        <w:t>44</w:t>
      </w:r>
      <w:r>
        <w:rPr>
          <w:rFonts w:eastAsia="標楷體"/>
          <w:sz w:val="22"/>
          <w:szCs w:val="16"/>
        </w:rPr>
        <w:t>學分以上，通過本校研究生學位考試規則規定之各項考試及本系規定專業基本能力檢定，始可畢業。</w:t>
      </w:r>
    </w:p>
    <w:p w:rsidR="007A65BA" w:rsidRDefault="00DD692E">
      <w:pPr>
        <w:numPr>
          <w:ilvl w:val="0"/>
          <w:numId w:val="1"/>
        </w:numPr>
        <w:snapToGrid w:val="0"/>
        <w:rPr>
          <w:rFonts w:eastAsia="標楷體"/>
          <w:sz w:val="22"/>
          <w:szCs w:val="16"/>
        </w:rPr>
      </w:pPr>
      <w:r>
        <w:rPr>
          <w:rFonts w:eastAsia="標楷體"/>
          <w:sz w:val="22"/>
          <w:szCs w:val="16"/>
        </w:rPr>
        <w:t>依本校學則規定，碩士班學生需通過本校研究生學位考試規則規定之各項考試及各系所規定專業基本能力檢定，始得畢業。</w:t>
      </w:r>
    </w:p>
    <w:p w:rsidR="007A65BA" w:rsidRDefault="00DD692E">
      <w:pPr>
        <w:numPr>
          <w:ilvl w:val="0"/>
          <w:numId w:val="1"/>
        </w:numPr>
        <w:snapToGrid w:val="0"/>
        <w:rPr>
          <w:rFonts w:eastAsia="標楷體"/>
          <w:sz w:val="22"/>
          <w:szCs w:val="16"/>
        </w:rPr>
      </w:pPr>
      <w:r>
        <w:rPr>
          <w:rFonts w:eastAsia="標楷體"/>
          <w:sz w:val="22"/>
          <w:szCs w:val="16"/>
        </w:rPr>
        <w:t>本系碩士生應於在學期間內通過專業基本能力檢定，其項目及檢定標準如下：</w:t>
      </w:r>
      <w:r>
        <w:rPr>
          <w:rFonts w:eastAsia="標楷體"/>
          <w:sz w:val="22"/>
          <w:szCs w:val="16"/>
        </w:rPr>
        <w:t>(1)</w:t>
      </w:r>
      <w:r>
        <w:rPr>
          <w:rFonts w:eastAsia="標楷體"/>
          <w:sz w:val="22"/>
          <w:szCs w:val="16"/>
        </w:rPr>
        <w:t>觀光專業經營管理能力：完成碩士學位論文，並經學位考試通過。</w:t>
      </w:r>
      <w:r>
        <w:rPr>
          <w:rFonts w:eastAsia="標楷體"/>
          <w:sz w:val="22"/>
          <w:szCs w:val="16"/>
        </w:rPr>
        <w:t>(2)</w:t>
      </w:r>
      <w:r>
        <w:rPr>
          <w:rFonts w:eastAsia="標楷體"/>
          <w:sz w:val="22"/>
          <w:szCs w:val="16"/>
        </w:rPr>
        <w:t>溝通協調與領導能力：擔任社團幹部或班級幹部至少一次。</w:t>
      </w:r>
      <w:r>
        <w:rPr>
          <w:rFonts w:eastAsia="標楷體"/>
          <w:sz w:val="22"/>
          <w:szCs w:val="16"/>
        </w:rPr>
        <w:t>(3)</w:t>
      </w:r>
      <w:r>
        <w:rPr>
          <w:rFonts w:eastAsia="標楷體"/>
          <w:sz w:val="22"/>
          <w:szCs w:val="16"/>
        </w:rPr>
        <w:t>獨立思考與研究發展能力：學位考試前須於國內外期刊或研討會至少發表或已被接受論文乙篇。</w:t>
      </w:r>
    </w:p>
    <w:p w:rsidR="007A65BA" w:rsidRDefault="00DD692E">
      <w:pPr>
        <w:numPr>
          <w:ilvl w:val="0"/>
          <w:numId w:val="1"/>
        </w:numPr>
        <w:snapToGrid w:val="0"/>
        <w:rPr>
          <w:rFonts w:eastAsia="標楷體"/>
          <w:sz w:val="22"/>
          <w:szCs w:val="16"/>
        </w:rPr>
      </w:pPr>
      <w:r>
        <w:rPr>
          <w:rFonts w:eastAsia="標楷體"/>
          <w:sz w:val="22"/>
          <w:szCs w:val="16"/>
        </w:rPr>
        <w:t>學生於二年級下學期開學之前，需參加校外英語檢定考試，並取得教育部頒訂，相當於</w:t>
      </w:r>
      <w:r>
        <w:rPr>
          <w:rFonts w:eastAsia="標楷體"/>
          <w:sz w:val="22"/>
          <w:szCs w:val="16"/>
        </w:rPr>
        <w:t>”CEFR”B1</w:t>
      </w:r>
      <w:r>
        <w:rPr>
          <w:rFonts w:eastAsia="標楷體"/>
          <w:sz w:val="22"/>
          <w:szCs w:val="16"/>
        </w:rPr>
        <w:t>級之英檢證照</w:t>
      </w:r>
      <w:r>
        <w:rPr>
          <w:rFonts w:eastAsia="標楷體"/>
          <w:sz w:val="22"/>
          <w:szCs w:val="16"/>
        </w:rPr>
        <w:t>(</w:t>
      </w:r>
      <w:r>
        <w:rPr>
          <w:rFonts w:eastAsia="標楷體"/>
          <w:sz w:val="22"/>
          <w:szCs w:val="16"/>
        </w:rPr>
        <w:t>依本校訂定為：多益</w:t>
      </w:r>
      <w:r>
        <w:rPr>
          <w:rFonts w:eastAsia="標楷體"/>
          <w:sz w:val="22"/>
          <w:szCs w:val="16"/>
        </w:rPr>
        <w:t>650</w:t>
      </w:r>
      <w:r>
        <w:rPr>
          <w:rFonts w:eastAsia="標楷體"/>
          <w:sz w:val="22"/>
          <w:szCs w:val="16"/>
        </w:rPr>
        <w:t>分、全民英檢中級複試</w:t>
      </w:r>
      <w:r>
        <w:rPr>
          <w:rFonts w:eastAsia="標楷體"/>
          <w:sz w:val="22"/>
          <w:szCs w:val="16"/>
        </w:rPr>
        <w:t>…</w:t>
      </w:r>
      <w:r>
        <w:rPr>
          <w:rFonts w:eastAsia="標楷體"/>
          <w:sz w:val="22"/>
          <w:szCs w:val="16"/>
        </w:rPr>
        <w:t>等等</w:t>
      </w:r>
      <w:r>
        <w:rPr>
          <w:rFonts w:eastAsia="標楷體"/>
          <w:sz w:val="22"/>
          <w:szCs w:val="16"/>
        </w:rPr>
        <w:t>)</w:t>
      </w:r>
      <w:r>
        <w:rPr>
          <w:rFonts w:eastAsia="標楷體"/>
          <w:sz w:val="22"/>
          <w:szCs w:val="16"/>
        </w:rPr>
        <w:t>。碩士班學生於畢業前仍未達檢定標準者，需修習</w:t>
      </w:r>
      <w:r>
        <w:rPr>
          <w:rFonts w:eastAsia="標楷體"/>
          <w:sz w:val="22"/>
          <w:szCs w:val="16"/>
        </w:rPr>
        <w:t>4</w:t>
      </w:r>
      <w:r>
        <w:rPr>
          <w:rFonts w:eastAsia="標楷體"/>
          <w:sz w:val="22"/>
          <w:szCs w:val="16"/>
        </w:rPr>
        <w:t>學分「實務應用英文一」及「</w:t>
      </w:r>
      <w:r>
        <w:rPr>
          <w:rFonts w:eastAsia="標楷體"/>
          <w:sz w:val="22"/>
          <w:szCs w:val="16"/>
        </w:rPr>
        <w:t>實務應用英文二」課程及格後，始得畢業。</w:t>
      </w:r>
      <w:r>
        <w:rPr>
          <w:rFonts w:eastAsia="標楷體"/>
          <w:sz w:val="22"/>
          <w:szCs w:val="16"/>
        </w:rPr>
        <w:t xml:space="preserve"> </w:t>
      </w:r>
    </w:p>
    <w:p w:rsidR="007A65BA" w:rsidRDefault="00DD692E">
      <w:pPr>
        <w:numPr>
          <w:ilvl w:val="0"/>
          <w:numId w:val="1"/>
        </w:numPr>
        <w:snapToGrid w:val="0"/>
        <w:rPr>
          <w:rFonts w:eastAsia="標楷體"/>
          <w:sz w:val="22"/>
          <w:szCs w:val="16"/>
        </w:rPr>
      </w:pPr>
      <w:r>
        <w:rPr>
          <w:rFonts w:eastAsia="標楷體"/>
          <w:sz w:val="22"/>
          <w:szCs w:val="16"/>
        </w:rPr>
        <w:t>選修外系所課程學分者，學分另計，不包含在畢業學分。</w:t>
      </w:r>
    </w:p>
    <w:p w:rsidR="007A65BA" w:rsidRDefault="00DD692E">
      <w:pPr>
        <w:numPr>
          <w:ilvl w:val="0"/>
          <w:numId w:val="1"/>
        </w:numPr>
        <w:snapToGrid w:val="0"/>
        <w:rPr>
          <w:rFonts w:eastAsia="標楷體"/>
          <w:sz w:val="22"/>
          <w:szCs w:val="16"/>
        </w:rPr>
      </w:pPr>
      <w:r>
        <w:rPr>
          <w:rFonts w:eastAsia="標楷體"/>
          <w:sz w:val="22"/>
          <w:szCs w:val="16"/>
        </w:rPr>
        <w:t>選修科目之開授與否，於每學期經事先按課程架構交由學生預選後決定。</w:t>
      </w:r>
    </w:p>
    <w:p w:rsidR="007A65BA" w:rsidRDefault="00DD692E">
      <w:pPr>
        <w:numPr>
          <w:ilvl w:val="0"/>
          <w:numId w:val="1"/>
        </w:numPr>
        <w:snapToGrid w:val="0"/>
      </w:pPr>
      <w:r>
        <w:rPr>
          <w:rFonts w:eastAsia="標楷體"/>
          <w:sz w:val="22"/>
          <w:szCs w:val="16"/>
        </w:rPr>
        <w:t>本「必選修科目表」自</w:t>
      </w:r>
      <w:r>
        <w:rPr>
          <w:rFonts w:eastAsia="標楷體"/>
          <w:sz w:val="22"/>
          <w:szCs w:val="16"/>
        </w:rPr>
        <w:t>106</w:t>
      </w:r>
      <w:r>
        <w:rPr>
          <w:rFonts w:eastAsia="標楷體"/>
          <w:sz w:val="22"/>
          <w:szCs w:val="16"/>
        </w:rPr>
        <w:t>學年度入學碩士生適用。</w:t>
      </w:r>
    </w:p>
    <w:sectPr w:rsidR="007A65BA">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2E" w:rsidRDefault="00DD692E">
      <w:r>
        <w:separator/>
      </w:r>
    </w:p>
  </w:endnote>
  <w:endnote w:type="continuationSeparator" w:id="0">
    <w:p w:rsidR="00DD692E" w:rsidRDefault="00DD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2E" w:rsidRDefault="00DD692E">
      <w:r>
        <w:rPr>
          <w:color w:val="000000"/>
        </w:rPr>
        <w:separator/>
      </w:r>
    </w:p>
  </w:footnote>
  <w:footnote w:type="continuationSeparator" w:id="0">
    <w:p w:rsidR="00DD692E" w:rsidRDefault="00DD6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6E15"/>
    <w:multiLevelType w:val="multilevel"/>
    <w:tmpl w:val="D04A3F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65BA"/>
    <w:rsid w:val="00380A66"/>
    <w:rsid w:val="007A65BA"/>
    <w:rsid w:val="00DD6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3">
    <w:name w:val="Default3"/>
    <w:pPr>
      <w:widowControl w:val="0"/>
      <w:suppressAutoHyphens/>
      <w:autoSpaceDE w:val="0"/>
    </w:pPr>
    <w:rPr>
      <w:rFonts w:ascii="標楷體" w:eastAsia="標楷體" w:hAnsi="標楷體" w:cs="標楷體"/>
      <w:color w:val="000000"/>
      <w:kern w:val="0"/>
      <w:szCs w:val="24"/>
    </w:rPr>
  </w:style>
  <w:style w:type="paragraph" w:customStyle="1" w:styleId="11">
    <w:name w:val="內文11"/>
    <w:pPr>
      <w:widowControl w:val="0"/>
      <w:suppressAutoHyphens/>
      <w:spacing w:line="360" w:lineRule="exact"/>
    </w:pPr>
    <w:rPr>
      <w:rFonts w:ascii="細明體" w:eastAsia="細明體" w:hAnsi="細明體"/>
      <w:kern w:val="0"/>
      <w:szCs w:val="20"/>
    </w:rPr>
  </w:style>
  <w:style w:type="paragraph" w:customStyle="1" w:styleId="a3">
    <w:name w:val="新目錄標題"/>
    <w:basedOn w:val="a"/>
    <w:pPr>
      <w:snapToGrid w:val="0"/>
      <w:spacing w:before="120"/>
      <w:jc w:val="center"/>
    </w:pPr>
    <w:rPr>
      <w:rFonts w:eastAsia="標楷體"/>
      <w:b/>
      <w:sz w:val="3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3">
    <w:name w:val="Default3"/>
    <w:pPr>
      <w:widowControl w:val="0"/>
      <w:suppressAutoHyphens/>
      <w:autoSpaceDE w:val="0"/>
    </w:pPr>
    <w:rPr>
      <w:rFonts w:ascii="標楷體" w:eastAsia="標楷體" w:hAnsi="標楷體" w:cs="標楷體"/>
      <w:color w:val="000000"/>
      <w:kern w:val="0"/>
      <w:szCs w:val="24"/>
    </w:rPr>
  </w:style>
  <w:style w:type="paragraph" w:customStyle="1" w:styleId="11">
    <w:name w:val="內文11"/>
    <w:pPr>
      <w:widowControl w:val="0"/>
      <w:suppressAutoHyphens/>
      <w:spacing w:line="360" w:lineRule="exact"/>
    </w:pPr>
    <w:rPr>
      <w:rFonts w:ascii="細明體" w:eastAsia="細明體" w:hAnsi="細明體"/>
      <w:kern w:val="0"/>
      <w:szCs w:val="20"/>
    </w:rPr>
  </w:style>
  <w:style w:type="paragraph" w:customStyle="1" w:styleId="a3">
    <w:name w:val="新目錄標題"/>
    <w:basedOn w:val="a"/>
    <w:pPr>
      <w:snapToGrid w:val="0"/>
      <w:spacing w:before="120"/>
      <w:jc w:val="center"/>
    </w:pPr>
    <w:rPr>
      <w:rFonts w:eastAsia="標楷體"/>
      <w:b/>
      <w:sz w:val="3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c:creator>
  <cp:lastModifiedBy>Microsoft</cp:lastModifiedBy>
  <cp:revision>2</cp:revision>
  <cp:lastPrinted>2016-09-02T03:30:00Z</cp:lastPrinted>
  <dcterms:created xsi:type="dcterms:W3CDTF">2019-12-15T16:17:00Z</dcterms:created>
  <dcterms:modified xsi:type="dcterms:W3CDTF">2019-12-15T16:17:00Z</dcterms:modified>
</cp:coreProperties>
</file>